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7"/>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p>
      <w:pPr>
        <w:widowControl/>
        <w:rPr>
          <w:sz w:val="32"/>
          <w:szCs w:val="32"/>
        </w:rPr>
      </w:pPr>
    </w:p>
    <w:p>
      <w:pPr>
        <w:widowControl/>
        <w:jc w:val="center"/>
        <w:rPr>
          <w:sz w:val="84"/>
          <w:szCs w:val="84"/>
        </w:rPr>
      </w:pPr>
    </w:p>
    <w:p>
      <w:pPr>
        <w:widowControl/>
        <w:jc w:val="center"/>
        <w:rPr>
          <w:sz w:val="84"/>
          <w:szCs w:val="84"/>
        </w:rPr>
      </w:pPr>
    </w:p>
    <w:p>
      <w:pPr>
        <w:widowControl/>
        <w:jc w:val="center"/>
        <w:rPr>
          <w:rFonts w:ascii="方正小标宋简体" w:eastAsia="方正小标宋简体"/>
          <w:sz w:val="84"/>
          <w:szCs w:val="84"/>
        </w:rPr>
      </w:pPr>
      <w:r>
        <w:rPr>
          <w:rFonts w:hint="eastAsia" w:ascii="方正小标宋简体" w:eastAsia="方正小标宋简体"/>
          <w:sz w:val="84"/>
          <w:szCs w:val="84"/>
          <w:lang w:val="en-US" w:eastAsia="zh-CN"/>
        </w:rPr>
        <w:t>2025</w:t>
      </w:r>
      <w:r>
        <w:rPr>
          <w:rFonts w:hint="eastAsia" w:ascii="方正小标宋简体" w:eastAsia="方正小标宋简体"/>
          <w:sz w:val="84"/>
          <w:szCs w:val="84"/>
        </w:rPr>
        <w:t>年度</w:t>
      </w:r>
    </w:p>
    <w:p>
      <w:pPr>
        <w:widowControl/>
        <w:jc w:val="center"/>
        <w:rPr>
          <w:rFonts w:ascii="宋体" w:hAnsi="宋体"/>
          <w:sz w:val="84"/>
          <w:szCs w:val="84"/>
        </w:rPr>
      </w:pPr>
      <w:r>
        <w:rPr>
          <w:rFonts w:hint="eastAsia" w:ascii="方正小标宋简体" w:eastAsia="方正小标宋简体"/>
          <w:sz w:val="84"/>
          <w:szCs w:val="84"/>
          <w:lang w:eastAsia="zh-CN"/>
        </w:rPr>
        <w:t>莆田市</w:t>
      </w:r>
      <w:bookmarkStart w:id="0" w:name="_GoBack"/>
      <w:bookmarkEnd w:id="0"/>
      <w:r>
        <w:rPr>
          <w:rFonts w:hint="eastAsia" w:ascii="方正小标宋简体" w:eastAsia="方正小标宋简体"/>
          <w:sz w:val="84"/>
          <w:szCs w:val="84"/>
        </w:rPr>
        <w:t>××××</w:t>
      </w:r>
    </w:p>
    <w:p>
      <w:pPr>
        <w:widowControl/>
        <w:jc w:val="center"/>
        <w:rPr>
          <w:rFonts w:ascii="方正小标宋简体" w:eastAsia="方正小标宋简体"/>
          <w:sz w:val="84"/>
          <w:szCs w:val="84"/>
        </w:rPr>
      </w:pPr>
      <w:r>
        <w:rPr>
          <w:rFonts w:hint="eastAsia" w:ascii="方正小标宋简体" w:eastAsia="方正小标宋简体"/>
          <w:sz w:val="84"/>
          <w:szCs w:val="84"/>
          <w:lang w:eastAsia="zh-CN"/>
        </w:rPr>
        <w:t>单位</w:t>
      </w:r>
      <w:r>
        <w:rPr>
          <w:rFonts w:hint="eastAsia" w:ascii="方正小标宋简体" w:eastAsia="方正小标宋简体"/>
          <w:sz w:val="84"/>
          <w:szCs w:val="84"/>
        </w:rPr>
        <w:t>预算</w:t>
      </w:r>
    </w:p>
    <w:p>
      <w:pPr>
        <w:widowControl/>
        <w:rPr>
          <w:sz w:val="84"/>
          <w:szCs w:val="84"/>
        </w:rPr>
      </w:pPr>
      <w:r>
        <w:rPr>
          <w:sz w:val="84"/>
          <w:szCs w:val="84"/>
        </w:rPr>
        <w:br w:type="page"/>
      </w:r>
    </w:p>
    <w:p>
      <w:pPr>
        <w:pStyle w:val="2"/>
        <w:jc w:val="center"/>
        <w:rPr>
          <w:rFonts w:ascii="方正小标宋简体" w:hAnsi="宋体" w:eastAsia="方正小标宋简体"/>
          <w:sz w:val="44"/>
          <w:lang w:eastAsia="zh-CN"/>
        </w:rPr>
      </w:pPr>
      <w:r>
        <w:rPr>
          <w:rFonts w:hint="eastAsia" w:ascii="方正小标宋简体" w:hAnsi="宋体" w:eastAsia="方正小标宋简体"/>
          <w:sz w:val="44"/>
          <w:lang w:eastAsia="zh-CN"/>
        </w:rPr>
        <w:t>目</w:t>
      </w:r>
      <w:r>
        <w:rPr>
          <w:rFonts w:ascii="方正小标宋简体" w:hAnsi="宋体" w:eastAsia="方正小标宋简体"/>
          <w:sz w:val="44"/>
          <w:lang w:eastAsia="zh-CN"/>
        </w:rPr>
        <w:t xml:space="preserve">  </w:t>
      </w:r>
      <w:r>
        <w:rPr>
          <w:rFonts w:hint="eastAsia" w:ascii="方正小标宋简体" w:hAnsi="宋体" w:eastAsia="方正小标宋简体"/>
          <w:sz w:val="44"/>
          <w:lang w:eastAsia="zh-CN"/>
        </w:rPr>
        <w:t>录</w:t>
      </w:r>
    </w:p>
    <w:p>
      <w:pPr>
        <w:pStyle w:val="2"/>
        <w:rPr>
          <w:rFonts w:ascii="宋体" w:hAnsi="宋体" w:eastAsia="宋体"/>
          <w:sz w:val="36"/>
          <w:lang w:eastAsia="zh-CN"/>
        </w:rPr>
      </w:pPr>
    </w:p>
    <w:p>
      <w:pPr>
        <w:pStyle w:val="2"/>
        <w:rPr>
          <w:rFonts w:ascii="仿宋" w:hAnsi="仿宋" w:eastAsia="仿宋"/>
          <w:b/>
          <w:sz w:val="36"/>
          <w:lang w:eastAsia="zh-CN"/>
        </w:rPr>
      </w:pPr>
      <w:r>
        <w:rPr>
          <w:rFonts w:hint="eastAsia" w:ascii="仿宋" w:hAnsi="仿宋" w:eastAsia="仿宋"/>
          <w:b/>
          <w:sz w:val="36"/>
          <w:lang w:eastAsia="zh-CN"/>
        </w:rPr>
        <w:t>第一部分</w:t>
      </w:r>
      <w:r>
        <w:rPr>
          <w:rFonts w:ascii="仿宋" w:hAnsi="仿宋" w:eastAsia="仿宋"/>
          <w:b/>
          <w:sz w:val="36"/>
          <w:lang w:eastAsia="zh-CN"/>
        </w:rPr>
        <w:t xml:space="preserve"> </w:t>
      </w:r>
      <w:r>
        <w:rPr>
          <w:rFonts w:hint="eastAsia" w:ascii="仿宋" w:hAnsi="仿宋" w:eastAsia="仿宋"/>
          <w:b/>
          <w:sz w:val="36"/>
          <w:lang w:eastAsia="zh-CN"/>
        </w:rPr>
        <w:t>单位概况</w:t>
      </w:r>
      <w:r>
        <w:rPr>
          <w:rFonts w:ascii="仿宋" w:hAnsi="仿宋" w:eastAsia="仿宋"/>
          <w:b/>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一、单位主要职责</w:t>
      </w:r>
      <w:r>
        <w:rPr>
          <w:rFonts w:ascii="仿宋" w:hAnsi="仿宋" w:eastAsia="仿宋"/>
          <w:b/>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二、单位预算单位构成</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三、单位主要工作任务</w:t>
      </w:r>
      <w:r>
        <w:rPr>
          <w:rFonts w:ascii="仿宋" w:hAnsi="仿宋" w:eastAsia="仿宋"/>
          <w:sz w:val="36"/>
          <w:lang w:eastAsia="zh-CN"/>
        </w:rPr>
        <w:t>……………………………</w:t>
      </w:r>
    </w:p>
    <w:p>
      <w:pPr>
        <w:pStyle w:val="2"/>
        <w:rPr>
          <w:rFonts w:ascii="仿宋" w:hAnsi="仿宋" w:eastAsia="仿宋"/>
          <w:b/>
          <w:sz w:val="36"/>
          <w:lang w:eastAsia="zh-CN"/>
        </w:rPr>
      </w:pPr>
      <w:r>
        <w:rPr>
          <w:rFonts w:hint="eastAsia" w:ascii="仿宋" w:hAnsi="仿宋" w:eastAsia="仿宋"/>
          <w:b/>
          <w:sz w:val="36"/>
          <w:lang w:eastAsia="zh-CN"/>
        </w:rPr>
        <w:t>第二部分</w:t>
      </w:r>
      <w:r>
        <w:rPr>
          <w:rFonts w:ascii="仿宋" w:hAnsi="仿宋" w:eastAsia="仿宋"/>
          <w:b/>
          <w:sz w:val="36"/>
          <w:lang w:eastAsia="zh-CN"/>
        </w:rPr>
        <w:t xml:space="preserve"> </w:t>
      </w:r>
      <w:r>
        <w:rPr>
          <w:rFonts w:hint="eastAsia" w:ascii="仿宋" w:hAnsi="仿宋" w:eastAsia="仿宋"/>
          <w:b/>
          <w:sz w:val="36"/>
          <w:lang w:val="en-US" w:eastAsia="zh-CN"/>
        </w:rPr>
        <w:t>2025</w:t>
      </w:r>
      <w:r>
        <w:rPr>
          <w:rFonts w:hint="eastAsia" w:ascii="仿宋" w:hAnsi="仿宋" w:eastAsia="仿宋"/>
          <w:b/>
          <w:sz w:val="36"/>
          <w:lang w:eastAsia="zh-CN"/>
        </w:rPr>
        <w:t>年度单位预算表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一、收支预算总表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二、收入预算总表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三、支出预算总表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四、财政拨款收支预算总表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五、一般公共预算拨款支出预算表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六、政府性基金预算拨款支出预算表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七、国有资本经营预算拨款支出预算表…………</w:t>
      </w:r>
    </w:p>
    <w:p>
      <w:pPr>
        <w:pStyle w:val="2"/>
        <w:ind w:firstLine="360" w:firstLineChars="100"/>
        <w:rPr>
          <w:rFonts w:ascii="仿宋" w:hAnsi="仿宋" w:eastAsia="仿宋"/>
          <w:sz w:val="36"/>
          <w:lang w:eastAsia="zh-CN"/>
        </w:rPr>
      </w:pPr>
      <w:r>
        <w:rPr>
          <w:rFonts w:hint="eastAsia" w:ascii="仿宋" w:hAnsi="仿宋" w:eastAsia="仿宋"/>
          <w:sz w:val="36"/>
          <w:lang w:eastAsia="zh-CN"/>
        </w:rPr>
        <w:t>八、一般公共预算支出经济分类情况表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九、一般公共预算基本支出经济分类情况表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十、一般公共预算“三公”经费支出预算表</w:t>
      </w:r>
      <w:r>
        <w:rPr>
          <w:rFonts w:ascii="仿宋" w:hAnsi="仿宋" w:eastAsia="仿宋"/>
          <w:sz w:val="36"/>
          <w:lang w:eastAsia="zh-CN"/>
        </w:rPr>
        <w:t>……</w:t>
      </w:r>
    </w:p>
    <w:p>
      <w:pPr>
        <w:pStyle w:val="2"/>
        <w:ind w:firstLine="360" w:firstLineChars="100"/>
        <w:rPr>
          <w:rFonts w:ascii="仿宋" w:hAnsi="仿宋" w:eastAsia="仿宋"/>
          <w:sz w:val="36"/>
          <w:lang w:eastAsia="zh-CN"/>
        </w:rPr>
      </w:pPr>
      <w:r>
        <w:rPr>
          <w:rFonts w:hint="eastAsia" w:ascii="仿宋" w:hAnsi="仿宋" w:eastAsia="仿宋"/>
          <w:sz w:val="36"/>
          <w:lang w:eastAsia="zh-CN"/>
        </w:rPr>
        <w:t>十一、单位专项资金管理清单目录</w:t>
      </w:r>
      <w:r>
        <w:rPr>
          <w:rFonts w:ascii="仿宋" w:hAnsi="仿宋" w:eastAsia="仿宋"/>
          <w:sz w:val="36"/>
          <w:lang w:eastAsia="zh-CN"/>
        </w:rPr>
        <w:t>………………</w:t>
      </w:r>
    </w:p>
    <w:p>
      <w:pPr>
        <w:widowControl/>
        <w:rPr>
          <w:rFonts w:ascii="仿宋" w:hAnsi="仿宋" w:eastAsia="仿宋"/>
          <w:b/>
          <w:sz w:val="40"/>
        </w:rPr>
      </w:pPr>
      <w:r>
        <w:rPr>
          <w:rFonts w:hint="eastAsia" w:ascii="仿宋" w:hAnsi="仿宋" w:eastAsia="仿宋"/>
          <w:b/>
          <w:sz w:val="40"/>
        </w:rPr>
        <w:t>第三部分</w:t>
      </w:r>
      <w:r>
        <w:rPr>
          <w:rFonts w:ascii="仿宋" w:hAnsi="仿宋" w:eastAsia="仿宋"/>
          <w:b/>
          <w:sz w:val="40"/>
        </w:rPr>
        <w:t xml:space="preserve"> </w:t>
      </w:r>
      <w:r>
        <w:rPr>
          <w:rFonts w:hint="eastAsia" w:ascii="仿宋" w:hAnsi="仿宋" w:eastAsia="仿宋"/>
          <w:b/>
          <w:sz w:val="40"/>
          <w:lang w:val="en-US" w:eastAsia="zh-CN"/>
        </w:rPr>
        <w:t>2025</w:t>
      </w:r>
      <w:r>
        <w:rPr>
          <w:rFonts w:hint="eastAsia" w:ascii="仿宋" w:hAnsi="仿宋" w:eastAsia="仿宋"/>
          <w:b/>
          <w:sz w:val="40"/>
        </w:rPr>
        <w:t>年度</w:t>
      </w:r>
      <w:r>
        <w:rPr>
          <w:rFonts w:hint="eastAsia" w:ascii="仿宋" w:hAnsi="仿宋" w:eastAsia="仿宋"/>
          <w:b/>
          <w:sz w:val="40"/>
          <w:lang w:eastAsia="zh-CN"/>
        </w:rPr>
        <w:t>单位</w:t>
      </w:r>
      <w:r>
        <w:rPr>
          <w:rFonts w:hint="eastAsia" w:ascii="仿宋" w:hAnsi="仿宋" w:eastAsia="仿宋"/>
          <w:b/>
          <w:sz w:val="40"/>
        </w:rPr>
        <w:t>预算情况说明</w:t>
      </w:r>
      <w:r>
        <w:rPr>
          <w:rFonts w:ascii="仿宋" w:hAnsi="仿宋" w:eastAsia="仿宋"/>
          <w:sz w:val="36"/>
        </w:rPr>
        <w:t>…………</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一、预算收支总体情况</w:t>
      </w:r>
      <w:r>
        <w:rPr>
          <w:rFonts w:ascii="仿宋" w:hAnsi="仿宋" w:eastAsia="仿宋"/>
          <w:sz w:val="36"/>
        </w:rPr>
        <w:t>…………………</w:t>
      </w:r>
      <w:r>
        <w:rPr>
          <w:rFonts w:ascii="仿宋" w:hAnsi="仿宋" w:eastAsia="仿宋" w:cs="Times New Roman"/>
          <w:kern w:val="0"/>
          <w:sz w:val="36"/>
          <w:szCs w:val="20"/>
        </w:rPr>
        <w:t>…</w:t>
      </w:r>
      <w:r>
        <w:rPr>
          <w:rFonts w:ascii="仿宋" w:hAnsi="仿宋" w:eastAsia="仿宋"/>
          <w:sz w:val="36"/>
        </w:rPr>
        <w:t>………</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二、一般公共预算拨款支出情况</w:t>
      </w:r>
      <w:r>
        <w:rPr>
          <w:rFonts w:ascii="仿宋" w:hAnsi="仿宋" w:eastAsia="仿宋" w:cs="Times New Roman"/>
          <w:kern w:val="0"/>
          <w:sz w:val="36"/>
          <w:szCs w:val="20"/>
        </w:rPr>
        <w:t>…………………</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三、政府性基金预算拨款支出情况</w:t>
      </w:r>
      <w:r>
        <w:rPr>
          <w:rFonts w:ascii="仿宋" w:hAnsi="仿宋" w:eastAsia="仿宋" w:cs="Times New Roman"/>
          <w:kern w:val="0"/>
          <w:sz w:val="36"/>
          <w:szCs w:val="20"/>
        </w:rPr>
        <w:t>………………</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四、国有资本经营预算拨款支出情况……………</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五、一般公共预算拨款基本支出情况</w:t>
      </w:r>
      <w:r>
        <w:rPr>
          <w:rFonts w:ascii="仿宋" w:hAnsi="仿宋" w:eastAsia="仿宋" w:cs="Times New Roman"/>
          <w:kern w:val="0"/>
          <w:sz w:val="36"/>
          <w:szCs w:val="20"/>
        </w:rPr>
        <w:t>……………</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六、一般公共预算“三公”经费支出情况</w:t>
      </w:r>
      <w:r>
        <w:rPr>
          <w:rFonts w:ascii="仿宋" w:hAnsi="仿宋" w:eastAsia="仿宋" w:cs="Times New Roman"/>
          <w:kern w:val="0"/>
          <w:sz w:val="36"/>
          <w:szCs w:val="20"/>
        </w:rPr>
        <w:t>…</w:t>
      </w:r>
      <w:r>
        <w:rPr>
          <w:rFonts w:hint="eastAsia" w:ascii="仿宋" w:hAnsi="仿宋" w:eastAsia="仿宋" w:cs="Times New Roman"/>
          <w:kern w:val="0"/>
          <w:sz w:val="36"/>
          <w:szCs w:val="20"/>
        </w:rPr>
        <w:t>…</w:t>
      </w:r>
      <w:r>
        <w:rPr>
          <w:rFonts w:ascii="仿宋" w:hAnsi="仿宋" w:eastAsia="仿宋" w:cs="Times New Roman"/>
          <w:kern w:val="0"/>
          <w:sz w:val="36"/>
          <w:szCs w:val="20"/>
        </w:rPr>
        <w:t>…</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七、预算绩效目标情况</w:t>
      </w:r>
      <w:r>
        <w:rPr>
          <w:rFonts w:ascii="仿宋" w:hAnsi="仿宋" w:eastAsia="仿宋" w:cs="Times New Roman"/>
          <w:kern w:val="0"/>
          <w:sz w:val="36"/>
          <w:szCs w:val="20"/>
        </w:rPr>
        <w:t>……………………………</w:t>
      </w:r>
    </w:p>
    <w:p>
      <w:pPr>
        <w:widowControl/>
        <w:ind w:firstLine="360" w:firstLineChars="100"/>
        <w:rPr>
          <w:rFonts w:ascii="仿宋" w:hAnsi="仿宋" w:eastAsia="仿宋" w:cs="Times New Roman"/>
          <w:kern w:val="0"/>
          <w:sz w:val="36"/>
          <w:szCs w:val="20"/>
        </w:rPr>
      </w:pPr>
      <w:r>
        <w:rPr>
          <w:rFonts w:hint="eastAsia" w:ascii="仿宋" w:hAnsi="仿宋" w:eastAsia="仿宋" w:cs="Times New Roman"/>
          <w:kern w:val="0"/>
          <w:sz w:val="36"/>
          <w:szCs w:val="20"/>
        </w:rPr>
        <w:t>八、其他重要事项说明</w:t>
      </w:r>
      <w:r>
        <w:rPr>
          <w:rFonts w:ascii="仿宋" w:hAnsi="仿宋" w:eastAsia="仿宋" w:cs="Times New Roman"/>
          <w:kern w:val="0"/>
          <w:sz w:val="36"/>
          <w:szCs w:val="20"/>
        </w:rPr>
        <w:t>……………………………</w:t>
      </w:r>
    </w:p>
    <w:p>
      <w:pPr>
        <w:pStyle w:val="2"/>
        <w:spacing w:before="3"/>
        <w:rPr>
          <w:rFonts w:ascii="仿宋" w:hAnsi="仿宋" w:eastAsia="仿宋"/>
          <w:sz w:val="26"/>
          <w:lang w:eastAsia="zh-CN"/>
        </w:rPr>
      </w:pPr>
      <w:r>
        <w:rPr>
          <w:rFonts w:hint="eastAsia" w:ascii="仿宋" w:hAnsi="仿宋" w:eastAsia="仿宋"/>
          <w:b/>
          <w:sz w:val="40"/>
          <w:lang w:eastAsia="zh-CN"/>
        </w:rPr>
        <w:t>第四部分</w:t>
      </w:r>
      <w:r>
        <w:rPr>
          <w:rFonts w:ascii="仿宋" w:hAnsi="仿宋" w:eastAsia="仿宋"/>
          <w:b/>
          <w:sz w:val="40"/>
          <w:lang w:eastAsia="zh-CN"/>
        </w:rPr>
        <w:t xml:space="preserve"> </w:t>
      </w:r>
      <w:r>
        <w:rPr>
          <w:rFonts w:hint="eastAsia" w:ascii="仿宋" w:hAnsi="仿宋" w:eastAsia="仿宋"/>
          <w:b/>
          <w:sz w:val="40"/>
          <w:lang w:eastAsia="zh-CN"/>
        </w:rPr>
        <w:t>名词解释</w:t>
      </w:r>
      <w:r>
        <w:rPr>
          <w:rFonts w:ascii="仿宋" w:hAnsi="仿宋" w:eastAsia="仿宋"/>
          <w:sz w:val="36"/>
          <w:lang w:eastAsia="zh-CN"/>
        </w:rPr>
        <w:t>…………………………………</w:t>
      </w:r>
    </w:p>
    <w:p>
      <w:pPr>
        <w:widowControl/>
      </w:pPr>
      <w:r>
        <w:tab/>
      </w:r>
    </w:p>
    <w:p>
      <w:pPr>
        <w:widowControl/>
        <w:spacing w:line="240" w:lineRule="auto"/>
        <w:jc w:val="left"/>
        <w:rPr>
          <w:rFonts w:ascii="黑体" w:hAnsi="黑体" w:eastAsia="黑体" w:cs="Times New Roman"/>
          <w:kern w:val="0"/>
          <w:sz w:val="36"/>
          <w:szCs w:val="36"/>
        </w:rPr>
      </w:pPr>
      <w:r>
        <w:rPr>
          <w:rFonts w:ascii="黑体" w:hAnsi="黑体" w:eastAsia="黑体"/>
          <w:sz w:val="36"/>
          <w:szCs w:val="36"/>
        </w:rPr>
        <w:br w:type="page"/>
      </w: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rPr>
          <w:rFonts w:ascii="黑体" w:hAnsi="黑体" w:eastAsia="黑体"/>
          <w:sz w:val="56"/>
          <w:szCs w:val="36"/>
          <w:lang w:eastAsia="zh-CN"/>
        </w:rPr>
      </w:pPr>
      <w:r>
        <w:rPr>
          <w:rFonts w:hint="eastAsia" w:ascii="黑体" w:hAnsi="黑体" w:eastAsia="黑体"/>
          <w:sz w:val="56"/>
          <w:szCs w:val="36"/>
          <w:lang w:eastAsia="zh-CN"/>
        </w:rPr>
        <w:t>第一部分</w:t>
      </w:r>
      <w:r>
        <w:rPr>
          <w:rFonts w:ascii="黑体" w:hAnsi="黑体" w:eastAsia="黑体"/>
          <w:sz w:val="56"/>
          <w:szCs w:val="36"/>
          <w:lang w:eastAsia="zh-CN"/>
        </w:rPr>
        <w:t xml:space="preserve"> </w:t>
      </w:r>
    </w:p>
    <w:p>
      <w:pPr>
        <w:pStyle w:val="2"/>
        <w:jc w:val="center"/>
        <w:rPr>
          <w:rFonts w:ascii="黑体" w:hAnsi="黑体" w:eastAsia="黑体"/>
          <w:sz w:val="56"/>
          <w:szCs w:val="36"/>
          <w:lang w:eastAsia="zh-CN"/>
        </w:rPr>
      </w:pPr>
      <w:r>
        <w:rPr>
          <w:rFonts w:hint="eastAsia" w:ascii="黑体" w:hAnsi="黑体" w:eastAsia="黑体"/>
          <w:sz w:val="56"/>
          <w:szCs w:val="36"/>
          <w:lang w:eastAsia="zh-CN"/>
        </w:rPr>
        <w:t>单位概况</w:t>
      </w:r>
    </w:p>
    <w:p>
      <w:pPr>
        <w:pStyle w:val="2"/>
        <w:rPr>
          <w:rFonts w:ascii="黑体" w:hAnsi="黑体" w:eastAsia="黑体"/>
          <w:sz w:val="36"/>
          <w:szCs w:val="36"/>
          <w:lang w:eastAsia="zh-CN"/>
        </w:rPr>
      </w:pPr>
    </w:p>
    <w:p>
      <w:pPr>
        <w:pStyle w:val="2"/>
        <w:rPr>
          <w:rFonts w:ascii="黑体" w:hAnsi="黑体" w:eastAsia="黑体" w:cs="黑体"/>
          <w:kern w:val="2"/>
          <w:sz w:val="32"/>
          <w:szCs w:val="32"/>
          <w:lang w:eastAsia="zh-CN"/>
        </w:rPr>
        <w:sectPr>
          <w:headerReference r:id="rId4" w:type="default"/>
          <w:footerReference r:id="rId5" w:type="default"/>
          <w:pgSz w:w="11906" w:h="16838"/>
          <w:pgMar w:top="1440" w:right="1800" w:bottom="1440" w:left="1800" w:header="851" w:footer="992" w:gutter="0"/>
          <w:pgNumType w:start="1"/>
          <w:cols w:space="720" w:num="1"/>
          <w:docGrid w:type="lines" w:linePitch="312" w:charSpace="0"/>
        </w:sectPr>
      </w:pPr>
    </w:p>
    <w:p>
      <w:pPr>
        <w:pStyle w:val="2"/>
        <w:ind w:firstLine="640" w:firstLineChars="200"/>
        <w:rPr>
          <w:rFonts w:ascii="黑体" w:hAnsi="黑体" w:eastAsia="黑体" w:cs="黑体"/>
          <w:kern w:val="2"/>
          <w:sz w:val="32"/>
          <w:szCs w:val="32"/>
          <w:lang w:eastAsia="zh-CN"/>
        </w:rPr>
      </w:pPr>
      <w:r>
        <w:rPr>
          <w:rFonts w:hint="eastAsia" w:ascii="黑体" w:hAnsi="黑体" w:eastAsia="黑体" w:cs="黑体"/>
          <w:kern w:val="2"/>
          <w:sz w:val="32"/>
          <w:szCs w:val="32"/>
          <w:lang w:eastAsia="zh-CN"/>
        </w:rPr>
        <w:t>一、单位主要职责</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单位</w:t>
      </w:r>
      <w:r>
        <w:rPr>
          <w:rFonts w:hint="eastAsia" w:ascii="仿宋" w:hAnsi="仿宋" w:eastAsia="仿宋"/>
          <w:sz w:val="32"/>
          <w:szCs w:val="32"/>
        </w:rPr>
        <w:t>的主要职责是：××××××××××××××××××××××××××××××××××××××××××××××××××××××××。</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（一）××××××××××××。</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（二）××××××××××××。</w:t>
      </w:r>
    </w:p>
    <w:p>
      <w:pPr>
        <w:ind w:firstLine="640" w:firstLineChars="200"/>
        <w:rPr>
          <w:rFonts w:ascii="仿宋" w:hAnsi="仿宋" w:eastAsia="仿宋"/>
          <w:sz w:val="32"/>
          <w:szCs w:val="32"/>
        </w:rPr>
      </w:pPr>
      <w:r>
        <w:rPr>
          <w:rFonts w:hint="eastAsia" w:ascii="仿宋" w:hAnsi="仿宋" w:eastAsia="仿宋"/>
          <w:sz w:val="32"/>
          <w:szCs w:val="32"/>
        </w:rPr>
        <w:t>（三）××××××××××××××××××××××××××××××××××××××××××××××××。</w:t>
      </w:r>
    </w:p>
    <w:p>
      <w:pPr>
        <w:pStyle w:val="2"/>
        <w:ind w:firstLine="640" w:firstLineChars="200"/>
        <w:rPr>
          <w:rFonts w:ascii="黑体" w:hAnsi="黑体" w:eastAsia="黑体" w:cs="黑体"/>
          <w:kern w:val="2"/>
          <w:sz w:val="32"/>
          <w:szCs w:val="32"/>
          <w:lang w:eastAsia="zh-CN"/>
        </w:rPr>
      </w:pPr>
      <w:r>
        <w:rPr>
          <w:rFonts w:hint="eastAsia" w:ascii="黑体" w:hAnsi="黑体" w:eastAsia="黑体" w:cs="黑体"/>
          <w:kern w:val="2"/>
          <w:sz w:val="32"/>
          <w:szCs w:val="32"/>
          <w:lang w:eastAsia="zh-CN"/>
        </w:rPr>
        <w:t>二、单位预算单位构成</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从预算单位构成看，××</w:t>
      </w:r>
      <w:r>
        <w:rPr>
          <w:rFonts w:hint="eastAsia" w:ascii="仿宋" w:hAnsi="仿宋" w:eastAsia="仿宋"/>
          <w:sz w:val="32"/>
          <w:szCs w:val="32"/>
          <w:lang w:eastAsia="zh-CN"/>
        </w:rPr>
        <w:t>单位</w:t>
      </w:r>
      <w:r>
        <w:rPr>
          <w:rFonts w:hint="eastAsia" w:ascii="仿宋" w:hAnsi="仿宋" w:eastAsia="仿宋"/>
          <w:sz w:val="32"/>
          <w:szCs w:val="32"/>
        </w:rPr>
        <w:t>包括</w:t>
      </w:r>
      <w:r>
        <w:rPr>
          <w:rFonts w:hint="eastAsia" w:ascii="仿宋" w:hAnsi="仿宋" w:eastAsia="仿宋" w:cs="仿宋_GB2312"/>
          <w:sz w:val="32"/>
          <w:szCs w:val="32"/>
        </w:rPr>
        <w:t>××</w:t>
      </w:r>
      <w:r>
        <w:rPr>
          <w:rFonts w:hint="eastAsia" w:ascii="仿宋" w:hAnsi="仿宋" w:eastAsia="仿宋"/>
          <w:sz w:val="32"/>
          <w:szCs w:val="32"/>
        </w:rPr>
        <w:t>个机关行政处（科）室及</w:t>
      </w:r>
      <w:r>
        <w:rPr>
          <w:rFonts w:hint="eastAsia" w:ascii="仿宋" w:hAnsi="仿宋" w:eastAsia="仿宋" w:cs="仿宋_GB2312"/>
          <w:sz w:val="32"/>
          <w:szCs w:val="32"/>
        </w:rPr>
        <w:t>××</w:t>
      </w:r>
      <w:r>
        <w:rPr>
          <w:rFonts w:hint="eastAsia" w:ascii="仿宋" w:hAnsi="仿宋" w:eastAsia="仿宋"/>
          <w:sz w:val="32"/>
          <w:szCs w:val="32"/>
        </w:rPr>
        <w:t>个下属单位，其中：列入</w:t>
      </w:r>
      <w:r>
        <w:rPr>
          <w:rFonts w:hint="eastAsia" w:ascii="仿宋" w:hAnsi="仿宋" w:eastAsia="仿宋" w:cs="仿宋_GB2312"/>
          <w:sz w:val="32"/>
          <w:szCs w:val="32"/>
          <w:lang w:val="en-US" w:eastAsia="zh-CN"/>
        </w:rPr>
        <w:t>2025</w:t>
      </w:r>
      <w:r>
        <w:rPr>
          <w:rFonts w:hint="eastAsia" w:ascii="仿宋" w:hAnsi="仿宋" w:eastAsia="仿宋"/>
          <w:sz w:val="32"/>
          <w:szCs w:val="32"/>
        </w:rPr>
        <w:t>年</w:t>
      </w:r>
      <w:r>
        <w:rPr>
          <w:rFonts w:hint="eastAsia" w:ascii="仿宋" w:hAnsi="仿宋" w:eastAsia="仿宋"/>
          <w:sz w:val="32"/>
          <w:szCs w:val="32"/>
          <w:lang w:eastAsia="zh-CN"/>
        </w:rPr>
        <w:t>单位</w:t>
      </w:r>
      <w:r>
        <w:rPr>
          <w:rFonts w:hint="eastAsia" w:ascii="仿宋" w:hAnsi="仿宋" w:eastAsia="仿宋"/>
          <w:sz w:val="32"/>
          <w:szCs w:val="32"/>
        </w:rPr>
        <w:t>预算编制范围的单位详细情况见下表：</w:t>
      </w:r>
    </w:p>
    <w:tbl>
      <w:tblPr>
        <w:tblW w:w="7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6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0" w:type="dxa"/>
            <w:vAlign w:val="top"/>
          </w:tcPr>
          <w:p>
            <w:pPr>
              <w:tabs>
                <w:tab w:val="left" w:pos="7513"/>
              </w:tabs>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序号</w:t>
            </w:r>
          </w:p>
        </w:tc>
        <w:tc>
          <w:tcPr>
            <w:tcW w:w="6140" w:type="dxa"/>
            <w:vAlign w:val="top"/>
          </w:tcPr>
          <w:p>
            <w:pPr>
              <w:tabs>
                <w:tab w:val="left" w:pos="7513"/>
              </w:tabs>
              <w:adjustRightInd w:val="0"/>
              <w:snapToGrid w:val="0"/>
              <w:spacing w:line="600" w:lineRule="exact"/>
              <w:jc w:val="center"/>
              <w:rPr>
                <w:rFonts w:ascii="仿宋" w:hAnsi="仿宋" w:eastAsia="仿宋"/>
                <w:sz w:val="32"/>
                <w:szCs w:val="32"/>
              </w:rPr>
            </w:pPr>
            <w:r>
              <w:rPr>
                <w:rFonts w:hint="eastAsia" w:ascii="仿宋" w:hAnsi="仿宋" w:eastAsia="仿宋"/>
                <w:sz w:val="32"/>
                <w:szCs w:val="32"/>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0" w:type="dxa"/>
            <w:vAlign w:val="top"/>
          </w:tcPr>
          <w:p>
            <w:pPr>
              <w:tabs>
                <w:tab w:val="left" w:pos="7513"/>
              </w:tabs>
              <w:adjustRightInd w:val="0"/>
              <w:snapToGrid w:val="0"/>
              <w:spacing w:line="600" w:lineRule="exact"/>
              <w:rPr>
                <w:rFonts w:ascii="仿宋" w:hAnsi="仿宋" w:eastAsia="仿宋"/>
                <w:sz w:val="32"/>
                <w:szCs w:val="32"/>
              </w:rPr>
            </w:pPr>
          </w:p>
        </w:tc>
        <w:tc>
          <w:tcPr>
            <w:tcW w:w="6140" w:type="dxa"/>
            <w:vAlign w:val="top"/>
          </w:tcPr>
          <w:p>
            <w:pPr>
              <w:tabs>
                <w:tab w:val="left" w:pos="7513"/>
              </w:tabs>
              <w:adjustRightInd w:val="0"/>
              <w:snapToGrid w:val="0"/>
              <w:spacing w:line="600" w:lineRule="exact"/>
              <w:rPr>
                <w:rFonts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0" w:type="dxa"/>
            <w:vAlign w:val="top"/>
          </w:tcPr>
          <w:p>
            <w:pPr>
              <w:tabs>
                <w:tab w:val="left" w:pos="7513"/>
              </w:tabs>
              <w:adjustRightInd w:val="0"/>
              <w:snapToGrid w:val="0"/>
              <w:spacing w:line="600" w:lineRule="exact"/>
              <w:rPr>
                <w:rFonts w:ascii="仿宋" w:hAnsi="仿宋" w:eastAsia="仿宋"/>
                <w:sz w:val="32"/>
                <w:szCs w:val="32"/>
              </w:rPr>
            </w:pPr>
          </w:p>
        </w:tc>
        <w:tc>
          <w:tcPr>
            <w:tcW w:w="6140" w:type="dxa"/>
            <w:vAlign w:val="top"/>
          </w:tcPr>
          <w:p>
            <w:pPr>
              <w:tabs>
                <w:tab w:val="left" w:pos="7513"/>
              </w:tabs>
              <w:adjustRightInd w:val="0"/>
              <w:snapToGrid w:val="0"/>
              <w:spacing w:line="600" w:lineRule="exact"/>
              <w:rPr>
                <w:rFonts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0" w:type="dxa"/>
            <w:vAlign w:val="top"/>
          </w:tcPr>
          <w:p>
            <w:pPr>
              <w:tabs>
                <w:tab w:val="left" w:pos="7513"/>
              </w:tabs>
              <w:adjustRightInd w:val="0"/>
              <w:snapToGrid w:val="0"/>
              <w:spacing w:line="600" w:lineRule="exact"/>
              <w:rPr>
                <w:rFonts w:ascii="仿宋" w:hAnsi="仿宋" w:eastAsia="仿宋"/>
                <w:sz w:val="32"/>
                <w:szCs w:val="32"/>
              </w:rPr>
            </w:pPr>
          </w:p>
        </w:tc>
        <w:tc>
          <w:tcPr>
            <w:tcW w:w="6140" w:type="dxa"/>
            <w:vAlign w:val="top"/>
          </w:tcPr>
          <w:p>
            <w:pPr>
              <w:tabs>
                <w:tab w:val="left" w:pos="7513"/>
              </w:tabs>
              <w:adjustRightInd w:val="0"/>
              <w:snapToGrid w:val="0"/>
              <w:spacing w:line="600" w:lineRule="exact"/>
              <w:rPr>
                <w:rFonts w:ascii="仿宋" w:hAnsi="仿宋" w:eastAsia="仿宋"/>
                <w:sz w:val="32"/>
                <w:szCs w:val="32"/>
              </w:rPr>
            </w:pPr>
          </w:p>
        </w:tc>
      </w:tr>
    </w:tbl>
    <w:p>
      <w:pPr>
        <w:tabs>
          <w:tab w:val="left" w:pos="7513"/>
        </w:tabs>
        <w:adjustRightInd w:val="0"/>
        <w:snapToGrid w:val="0"/>
        <w:spacing w:line="600" w:lineRule="exact"/>
        <w:ind w:firstLine="643" w:firstLineChars="200"/>
        <w:rPr>
          <w:rFonts w:ascii="楷体" w:hAnsi="楷体" w:eastAsia="楷体" w:cs="仿宋_GB2312"/>
          <w:b/>
          <w:bCs/>
          <w:color w:val="0000FF"/>
          <w:sz w:val="32"/>
          <w:szCs w:val="32"/>
        </w:rPr>
      </w:pPr>
      <w:r>
        <w:rPr>
          <w:rFonts w:hint="eastAsia" w:ascii="楷体" w:hAnsi="楷体" w:eastAsia="楷体" w:cs="仿宋_GB2312"/>
          <w:b/>
          <w:bCs/>
          <w:color w:val="0000FF"/>
          <w:sz w:val="32"/>
          <w:szCs w:val="32"/>
        </w:rPr>
        <w:t>（注：没有下属单位的</w:t>
      </w:r>
      <w:r>
        <w:rPr>
          <w:rFonts w:hint="eastAsia" w:ascii="楷体" w:hAnsi="楷体" w:eastAsia="楷体" w:cs="仿宋_GB2312"/>
          <w:b/>
          <w:bCs/>
          <w:color w:val="0000FF"/>
          <w:sz w:val="32"/>
          <w:szCs w:val="32"/>
          <w:lang w:eastAsia="zh-CN"/>
        </w:rPr>
        <w:t>单位</w:t>
      </w:r>
      <w:r>
        <w:rPr>
          <w:rFonts w:hint="eastAsia" w:ascii="楷体" w:hAnsi="楷体" w:eastAsia="楷体" w:cs="仿宋_GB2312"/>
          <w:b/>
          <w:bCs/>
          <w:color w:val="0000FF"/>
          <w:sz w:val="32"/>
          <w:szCs w:val="32"/>
        </w:rPr>
        <w:t>，可说明“本</w:t>
      </w:r>
      <w:r>
        <w:rPr>
          <w:rFonts w:hint="eastAsia" w:ascii="楷体" w:hAnsi="楷体" w:eastAsia="楷体" w:cs="仿宋_GB2312"/>
          <w:b/>
          <w:bCs/>
          <w:color w:val="0000FF"/>
          <w:sz w:val="32"/>
          <w:szCs w:val="32"/>
          <w:lang w:eastAsia="zh-CN"/>
        </w:rPr>
        <w:t>单位</w:t>
      </w:r>
      <w:r>
        <w:rPr>
          <w:rFonts w:hint="eastAsia" w:ascii="楷体" w:hAnsi="楷体" w:eastAsia="楷体" w:cs="仿宋_GB2312"/>
          <w:b/>
          <w:bCs/>
          <w:color w:val="0000FF"/>
          <w:sz w:val="32"/>
          <w:szCs w:val="32"/>
        </w:rPr>
        <w:t>无下属单位”。）</w:t>
      </w:r>
    </w:p>
    <w:p>
      <w:pPr>
        <w:tabs>
          <w:tab w:val="left" w:pos="7513"/>
        </w:tabs>
        <w:adjustRightInd w:val="0"/>
        <w:snapToGrid w:val="0"/>
        <w:spacing w:line="600" w:lineRule="exact"/>
        <w:rPr>
          <w:rFonts w:ascii="黑体" w:hAnsi="黑体" w:eastAsia="黑体"/>
          <w:sz w:val="32"/>
          <w:szCs w:val="32"/>
        </w:rPr>
      </w:pPr>
      <w:r>
        <w:rPr>
          <w:rFonts w:hint="eastAsia" w:ascii="宋体" w:hAnsi="宋体" w:eastAsia="宋体" w:cs="Times New Roman"/>
          <w:kern w:val="0"/>
          <w:sz w:val="36"/>
          <w:szCs w:val="20"/>
        </w:rPr>
        <w:t xml:space="preserve">    </w:t>
      </w:r>
      <w:r>
        <w:rPr>
          <w:rFonts w:hint="eastAsia" w:ascii="黑体" w:hAnsi="黑体" w:eastAsia="黑体"/>
          <w:sz w:val="32"/>
          <w:szCs w:val="32"/>
        </w:rPr>
        <w:t>三、</w:t>
      </w:r>
      <w:r>
        <w:rPr>
          <w:rFonts w:hint="eastAsia" w:ascii="黑体" w:hAnsi="黑体" w:eastAsia="黑体"/>
          <w:sz w:val="32"/>
          <w:szCs w:val="32"/>
          <w:lang w:eastAsia="zh-CN"/>
        </w:rPr>
        <w:t>单位</w:t>
      </w:r>
      <w:r>
        <w:rPr>
          <w:rFonts w:hint="eastAsia" w:ascii="黑体" w:hAnsi="黑体" w:eastAsia="黑体"/>
          <w:sz w:val="32"/>
          <w:szCs w:val="32"/>
        </w:rPr>
        <w:t>主要工作任务</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lang w:val="en-US" w:eastAsia="zh-CN"/>
        </w:rPr>
        <w:t>2025</w:t>
      </w:r>
      <w:r>
        <w:rPr>
          <w:rFonts w:hint="eastAsia" w:ascii="仿宋" w:hAnsi="仿宋" w:eastAsia="仿宋"/>
          <w:sz w:val="32"/>
          <w:szCs w:val="32"/>
        </w:rPr>
        <w:t>年，</w:t>
      </w:r>
      <w:r>
        <w:rPr>
          <w:rFonts w:hint="eastAsia" w:ascii="仿宋" w:hAnsi="仿宋" w:eastAsia="仿宋" w:cs="仿宋_GB2312"/>
          <w:sz w:val="32"/>
          <w:szCs w:val="32"/>
        </w:rPr>
        <w:t>××</w:t>
      </w:r>
      <w:r>
        <w:rPr>
          <w:rFonts w:hint="eastAsia" w:ascii="仿宋" w:hAnsi="仿宋" w:eastAsia="仿宋"/>
          <w:sz w:val="32"/>
          <w:szCs w:val="32"/>
          <w:lang w:eastAsia="zh-CN"/>
        </w:rPr>
        <w:t>单位</w:t>
      </w:r>
      <w:r>
        <w:rPr>
          <w:rFonts w:hint="eastAsia" w:ascii="仿宋" w:hAnsi="仿宋" w:eastAsia="仿宋"/>
          <w:sz w:val="32"/>
          <w:szCs w:val="32"/>
        </w:rPr>
        <w:t>主要任务是：</w:t>
      </w:r>
      <w:r>
        <w:rPr>
          <w:rFonts w:hint="eastAsia" w:ascii="仿宋" w:hAnsi="仿宋" w:eastAsia="仿宋" w:cs="仿宋_GB2312"/>
          <w:sz w:val="32"/>
          <w:szCs w:val="32"/>
        </w:rPr>
        <w:t>×××××××××××××××××××××××××××××××××××××××</w:t>
      </w:r>
      <w:r>
        <w:rPr>
          <w:rFonts w:hint="eastAsia" w:ascii="仿宋" w:hAnsi="仿宋" w:eastAsia="仿宋"/>
          <w:sz w:val="32"/>
          <w:szCs w:val="32"/>
        </w:rPr>
        <w:t>。围绕上述任务，重点抓好以下工作：</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（一）</w:t>
      </w:r>
      <w:r>
        <w:rPr>
          <w:rFonts w:hint="eastAsia" w:ascii="仿宋" w:hAnsi="仿宋" w:eastAsia="仿宋" w:cs="仿宋_GB2312"/>
          <w:sz w:val="32"/>
          <w:szCs w:val="32"/>
        </w:rPr>
        <w:t>××××××××××××</w:t>
      </w:r>
      <w:r>
        <w:rPr>
          <w:rFonts w:hint="eastAsia" w:ascii="仿宋" w:hAnsi="仿宋" w:eastAsia="仿宋"/>
          <w:sz w:val="32"/>
          <w:szCs w:val="32"/>
        </w:rPr>
        <w:t>。</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（二）</w:t>
      </w:r>
      <w:r>
        <w:rPr>
          <w:rFonts w:hint="eastAsia" w:ascii="仿宋" w:hAnsi="仿宋" w:eastAsia="仿宋" w:cs="仿宋_GB2312"/>
          <w:sz w:val="32"/>
          <w:szCs w:val="32"/>
        </w:rPr>
        <w:t>××××××××××××</w:t>
      </w:r>
      <w:r>
        <w:rPr>
          <w:rFonts w:hint="eastAsia" w:ascii="仿宋" w:hAnsi="仿宋" w:eastAsia="仿宋"/>
          <w:sz w:val="32"/>
          <w:szCs w:val="32"/>
        </w:rPr>
        <w:t>。</w:t>
      </w:r>
    </w:p>
    <w:p>
      <w:pPr>
        <w:ind w:firstLine="640" w:firstLineChars="200"/>
        <w:rPr>
          <w:rFonts w:ascii="仿宋" w:hAnsi="仿宋" w:eastAsia="仿宋" w:cs="仿宋_GB2312"/>
          <w:sz w:val="32"/>
          <w:szCs w:val="32"/>
        </w:rPr>
      </w:pPr>
      <w:r>
        <w:rPr>
          <w:rFonts w:hint="eastAsia" w:ascii="仿宋" w:hAnsi="仿宋" w:eastAsia="仿宋"/>
          <w:sz w:val="32"/>
          <w:szCs w:val="32"/>
        </w:rPr>
        <w:t>（三）</w:t>
      </w:r>
      <w:r>
        <w:rPr>
          <w:rFonts w:hint="eastAsia" w:ascii="仿宋" w:hAnsi="仿宋" w:eastAsia="仿宋" w:cs="仿宋_GB2312"/>
          <w:sz w:val="32"/>
          <w:szCs w:val="32"/>
        </w:rPr>
        <w:t>×××××××××××××××××××××××××××××××××××××××××××。</w:t>
      </w:r>
    </w:p>
    <w:p>
      <w:pPr>
        <w:ind w:firstLine="640" w:firstLineChars="200"/>
        <w:rPr>
          <w:rFonts w:ascii="仿宋" w:hAnsi="仿宋" w:eastAsia="仿宋" w:cs="仿宋_GB2312"/>
          <w:sz w:val="32"/>
          <w:szCs w:val="32"/>
        </w:rPr>
      </w:pPr>
    </w:p>
    <w:p>
      <w:pPr>
        <w:pStyle w:val="2"/>
        <w:jc w:val="center"/>
        <w:rPr>
          <w:rFonts w:ascii="黑体" w:hAnsi="黑体" w:eastAsia="黑体"/>
          <w:sz w:val="36"/>
          <w:szCs w:val="36"/>
          <w:lang w:eastAsia="zh-CN"/>
        </w:rPr>
        <w:sectPr>
          <w:pgSz w:w="11906" w:h="16838"/>
          <w:pgMar w:top="1440" w:right="1800" w:bottom="1440" w:left="1800" w:header="851" w:footer="992" w:gutter="0"/>
          <w:cols w:space="720" w:num="1"/>
          <w:docGrid w:type="lines" w:linePitch="312" w:charSpace="0"/>
        </w:sect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rPr>
          <w:rFonts w:ascii="黑体" w:hAnsi="黑体" w:eastAsia="黑体"/>
          <w:sz w:val="56"/>
          <w:szCs w:val="36"/>
          <w:lang w:eastAsia="zh-CN"/>
        </w:rPr>
      </w:pPr>
      <w:r>
        <w:rPr>
          <w:rFonts w:hint="eastAsia" w:ascii="黑体" w:hAnsi="黑体" w:eastAsia="黑体"/>
          <w:sz w:val="56"/>
          <w:szCs w:val="36"/>
          <w:lang w:eastAsia="zh-CN"/>
        </w:rPr>
        <w:t>第二部分</w:t>
      </w:r>
      <w:r>
        <w:rPr>
          <w:rFonts w:ascii="黑体" w:hAnsi="黑体" w:eastAsia="黑体"/>
          <w:sz w:val="56"/>
          <w:szCs w:val="36"/>
          <w:lang w:eastAsia="zh-CN"/>
        </w:rPr>
        <w:t xml:space="preserve"> </w:t>
      </w:r>
    </w:p>
    <w:p>
      <w:pPr>
        <w:pStyle w:val="2"/>
        <w:jc w:val="center"/>
        <w:rPr>
          <w:rFonts w:ascii="黑体" w:hAnsi="黑体" w:eastAsia="黑体"/>
          <w:sz w:val="56"/>
          <w:szCs w:val="36"/>
          <w:lang w:eastAsia="zh-CN"/>
        </w:rPr>
      </w:pPr>
      <w:r>
        <w:rPr>
          <w:rFonts w:hint="eastAsia" w:ascii="黑体" w:hAnsi="黑体" w:eastAsia="黑体"/>
          <w:sz w:val="56"/>
          <w:szCs w:val="36"/>
          <w:lang w:val="en-US" w:eastAsia="zh-CN"/>
        </w:rPr>
        <w:t>2025</w:t>
      </w:r>
      <w:r>
        <w:rPr>
          <w:rFonts w:hint="eastAsia" w:ascii="黑体" w:hAnsi="黑体" w:eastAsia="黑体"/>
          <w:sz w:val="56"/>
          <w:szCs w:val="36"/>
          <w:lang w:eastAsia="zh-CN"/>
        </w:rPr>
        <w:t>年度单位预算表</w:t>
      </w:r>
    </w:p>
    <w:p>
      <w:pPr>
        <w:tabs>
          <w:tab w:val="left" w:pos="7513"/>
        </w:tabs>
        <w:adjustRightInd w:val="0"/>
        <w:snapToGrid w:val="0"/>
        <w:spacing w:line="600" w:lineRule="exact"/>
        <w:rPr>
          <w:rFonts w:ascii="宋体" w:hAnsi="宋体" w:eastAsia="宋体"/>
          <w:sz w:val="36"/>
        </w:rPr>
        <w:sectPr>
          <w:pgSz w:w="11906" w:h="16838"/>
          <w:pgMar w:top="1440" w:right="1800" w:bottom="1440" w:left="1800" w:header="851" w:footer="992" w:gutter="0"/>
          <w:cols w:space="720" w:num="1"/>
          <w:docGrid w:type="lines" w:linePitch="312" w:charSpace="0"/>
        </w:sectPr>
      </w:pPr>
    </w:p>
    <w:p>
      <w:pPr>
        <w:tabs>
          <w:tab w:val="left" w:pos="7513"/>
        </w:tabs>
        <w:adjustRightInd w:val="0"/>
        <w:snapToGrid w:val="0"/>
        <w:spacing w:line="600" w:lineRule="exact"/>
        <w:rPr>
          <w:rFonts w:ascii="楷体" w:hAnsi="楷体" w:eastAsia="楷体"/>
          <w:sz w:val="28"/>
          <w:szCs w:val="28"/>
        </w:rPr>
      </w:pPr>
      <w:r>
        <w:rPr>
          <w:rFonts w:hint="eastAsia" w:ascii="黑体" w:hAnsi="黑体" w:eastAsia="黑体"/>
          <w:sz w:val="32"/>
          <w:szCs w:val="32"/>
        </w:rPr>
        <w:t>一、收支预算总表</w:t>
      </w:r>
    </w:p>
    <w:tbl>
      <w:tblPr>
        <w:tblW w:w="8789"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77"/>
        <w:gridCol w:w="1276"/>
        <w:gridCol w:w="3260"/>
        <w:gridCol w:w="1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8789" w:type="dxa"/>
            <w:gridSpan w:val="4"/>
            <w:tcBorders>
              <w:top w:val="nil"/>
              <w:left w:val="nil"/>
              <w:bottom w:val="nil"/>
              <w:right w:val="nil"/>
            </w:tcBorders>
            <w:vAlign w:val="center"/>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年度收支预算总表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789" w:type="dxa"/>
            <w:gridSpan w:val="4"/>
            <w:tcBorders>
              <w:top w:val="nil"/>
              <w:left w:val="nil"/>
              <w:bottom w:val="nil"/>
              <w:right w:val="nil"/>
            </w:tcBorders>
            <w:vAlign w:val="bottom"/>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2"/>
                <w:szCs w:val="24"/>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5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收入</w:t>
            </w:r>
          </w:p>
        </w:tc>
        <w:tc>
          <w:tcPr>
            <w:tcW w:w="4536" w:type="dxa"/>
            <w:gridSpan w:val="2"/>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c>
          <w:tcPr>
            <w:tcW w:w="3260"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一、一般公共预算拨款收入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一、一般公共服务支出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二、政府性基金预算拨款收入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二、外交支出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三、国有资本经营预算拨款收入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三、国防支出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四、财政专户管理资金收入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四、公共安全支出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五、事业收入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五、教育支出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六、事业单位经营收入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六、科学技术支出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七、上级补助收入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七、文化旅游体育与传媒支出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八、附属单位上缴收入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八、社会保障和就业支出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九、其他收入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九、卫生健康支出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十、上年结转结余</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十、节能环保支出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十一、城乡社区支出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十二、农林水支出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十三、交通运输支出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十四、资源勘探工业信息等支出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十五、商业服务业等支出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十六、金融支出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十七、援助其他地区支出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十八、自然资源海洋气象等支出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十九、住房保障支出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二十、粮油物资储备支出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二十一、国有资本经营预算支出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二十二、灾害防治及应急管理支出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8"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二十三、其他支出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二十四、债务还本支出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二十五、债务付息支出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26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二十六、债务发行费用支出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收入合计</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　</w:t>
            </w:r>
          </w:p>
        </w:tc>
        <w:tc>
          <w:tcPr>
            <w:tcW w:w="3260" w:type="dxa"/>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支出合计</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　</w:t>
            </w:r>
          </w:p>
        </w:tc>
      </w:tr>
    </w:tbl>
    <w:p>
      <w:pPr>
        <w:widowControl/>
        <w:spacing w:line="300" w:lineRule="auto"/>
        <w:jc w:val="left"/>
        <w:rPr>
          <w:rFonts w:hint="eastAsia" w:ascii="楷体" w:hAnsi="楷体" w:eastAsia="楷体" w:cs="Times New Roman"/>
          <w:b/>
          <w:bCs/>
          <w:color w:val="0000FF"/>
          <w:kern w:val="0"/>
          <w:sz w:val="24"/>
          <w:szCs w:val="24"/>
        </w:rPr>
      </w:pPr>
      <w:r>
        <w:rPr>
          <w:rFonts w:hint="eastAsia" w:ascii="楷体" w:hAnsi="楷体" w:eastAsia="楷体" w:cs="Times New Roman"/>
          <w:b/>
          <w:bCs/>
          <w:color w:val="0000FF"/>
          <w:kern w:val="0"/>
          <w:sz w:val="24"/>
          <w:szCs w:val="24"/>
        </w:rPr>
        <w:t>编报说明（制作文本时请删除“编报说明”内容）：</w:t>
      </w:r>
    </w:p>
    <w:p>
      <w:pPr>
        <w:widowControl/>
        <w:spacing w:line="300" w:lineRule="auto"/>
        <w:ind w:firstLine="482" w:firstLineChars="200"/>
        <w:jc w:val="left"/>
        <w:rPr>
          <w:rFonts w:hint="eastAsia" w:ascii="楷体" w:hAnsi="楷体" w:eastAsia="楷体" w:cs="Times New Roman"/>
          <w:b/>
          <w:bCs/>
          <w:color w:val="0000FF"/>
          <w:kern w:val="0"/>
          <w:sz w:val="24"/>
          <w:szCs w:val="24"/>
        </w:rPr>
      </w:pPr>
      <w:r>
        <w:rPr>
          <w:rFonts w:hint="eastAsia" w:ascii="楷体" w:hAnsi="楷体" w:eastAsia="楷体" w:cs="Times New Roman"/>
          <w:b/>
          <w:bCs/>
          <w:color w:val="0000FF"/>
          <w:kern w:val="0"/>
          <w:sz w:val="24"/>
          <w:szCs w:val="24"/>
        </w:rPr>
        <w:t>1.</w:t>
      </w:r>
      <w:r>
        <w:rPr>
          <w:rFonts w:hint="eastAsia" w:ascii="楷体" w:hAnsi="楷体" w:eastAsia="楷体" w:cs="Times New Roman"/>
          <w:b/>
          <w:bCs/>
          <w:color w:val="0000FF"/>
          <w:kern w:val="0"/>
          <w:sz w:val="24"/>
          <w:szCs w:val="24"/>
          <w:lang w:eastAsia="zh-CN"/>
        </w:rPr>
        <w:t>单位</w:t>
      </w:r>
      <w:r>
        <w:rPr>
          <w:rFonts w:hint="eastAsia" w:ascii="楷体" w:hAnsi="楷体" w:eastAsia="楷体" w:cs="Times New Roman"/>
          <w:b/>
          <w:bCs/>
          <w:color w:val="0000FF"/>
          <w:kern w:val="0"/>
          <w:sz w:val="24"/>
          <w:szCs w:val="24"/>
        </w:rPr>
        <w:t>预算信息公开报表请从预算管理一体化系统导出，制作文本时请删除表格下方“编报说明”有关内容（下同）；</w:t>
      </w:r>
    </w:p>
    <w:p>
      <w:pPr>
        <w:widowControl/>
        <w:spacing w:line="300" w:lineRule="auto"/>
        <w:ind w:firstLine="482" w:firstLineChars="200"/>
        <w:jc w:val="left"/>
        <w:rPr>
          <w:rFonts w:hint="eastAsia" w:ascii="楷体" w:hAnsi="楷体" w:eastAsia="楷体" w:cs="Times New Roman"/>
          <w:b/>
          <w:bCs/>
          <w:color w:val="0000FF"/>
          <w:kern w:val="0"/>
          <w:sz w:val="24"/>
          <w:szCs w:val="24"/>
        </w:rPr>
      </w:pPr>
      <w:r>
        <w:rPr>
          <w:rFonts w:hint="eastAsia" w:ascii="楷体" w:hAnsi="楷体" w:eastAsia="楷体" w:cs="Times New Roman"/>
          <w:b/>
          <w:bCs/>
          <w:color w:val="0000FF"/>
          <w:kern w:val="0"/>
          <w:sz w:val="24"/>
          <w:szCs w:val="24"/>
        </w:rPr>
        <w:t>2.表中涉密项目请按《福建省财政厅关于印发福建省预决算公开操作规程的通知》（闽财预〔2017〕38号）相关规定对收入、支出有关金额同步进行处理，并保持与后续表格数据勾稽关系一致（下同）；</w:t>
      </w:r>
    </w:p>
    <w:p>
      <w:pPr>
        <w:widowControl/>
        <w:spacing w:line="300" w:lineRule="auto"/>
        <w:ind w:firstLine="482" w:firstLineChars="200"/>
        <w:jc w:val="left"/>
        <w:rPr>
          <w:rFonts w:hint="eastAsia" w:ascii="楷体" w:hAnsi="楷体" w:eastAsia="楷体" w:cs="Times New Roman"/>
          <w:b/>
          <w:bCs/>
          <w:color w:val="0000FF"/>
          <w:kern w:val="0"/>
          <w:sz w:val="24"/>
          <w:szCs w:val="24"/>
        </w:rPr>
      </w:pPr>
      <w:r>
        <w:rPr>
          <w:rFonts w:hint="eastAsia" w:ascii="楷体" w:hAnsi="楷体" w:eastAsia="楷体" w:cs="Times New Roman"/>
          <w:b/>
          <w:bCs/>
          <w:color w:val="0000FF"/>
          <w:kern w:val="0"/>
          <w:sz w:val="24"/>
          <w:szCs w:val="24"/>
        </w:rPr>
        <w:t>3.新的表格请另起一页（下同）；</w:t>
      </w:r>
    </w:p>
    <w:p>
      <w:pPr>
        <w:widowControl/>
        <w:spacing w:line="300" w:lineRule="auto"/>
        <w:ind w:firstLine="482" w:firstLineChars="200"/>
        <w:jc w:val="left"/>
        <w:rPr>
          <w:rFonts w:hint="eastAsia" w:ascii="楷体" w:hAnsi="楷体" w:eastAsia="楷体" w:cs="Times New Roman"/>
          <w:b/>
          <w:bCs/>
          <w:color w:val="0000FF"/>
          <w:kern w:val="0"/>
          <w:sz w:val="24"/>
          <w:szCs w:val="24"/>
        </w:rPr>
      </w:pPr>
      <w:r>
        <w:rPr>
          <w:rFonts w:hint="eastAsia" w:ascii="楷体" w:hAnsi="楷体" w:eastAsia="楷体" w:cs="Times New Roman"/>
          <w:b/>
          <w:bCs/>
          <w:color w:val="0000FF"/>
          <w:kern w:val="0"/>
          <w:sz w:val="24"/>
          <w:szCs w:val="24"/>
        </w:rPr>
        <w:t>4.本表支出项目中没有金额的项目，可以根据需要删除；</w:t>
      </w:r>
    </w:p>
    <w:p>
      <w:pPr>
        <w:widowControl/>
        <w:spacing w:line="300" w:lineRule="auto"/>
        <w:ind w:firstLine="482" w:firstLineChars="200"/>
        <w:jc w:val="left"/>
        <w:rPr>
          <w:rFonts w:hint="eastAsia" w:ascii="楷体" w:hAnsi="楷体" w:eastAsia="楷体" w:cs="Times New Roman"/>
          <w:b/>
          <w:bCs/>
          <w:color w:val="0000FF"/>
          <w:kern w:val="0"/>
          <w:sz w:val="24"/>
          <w:szCs w:val="24"/>
        </w:rPr>
        <w:sectPr>
          <w:pgSz w:w="11906" w:h="16838"/>
          <w:pgMar w:top="1440" w:right="1800" w:bottom="1440" w:left="1800" w:header="851" w:footer="992" w:gutter="0"/>
          <w:cols w:space="720" w:num="1"/>
          <w:docGrid w:type="lines" w:linePitch="312" w:charSpace="0"/>
        </w:sectPr>
      </w:pPr>
      <w:r>
        <w:rPr>
          <w:rFonts w:hint="eastAsia" w:ascii="楷体" w:hAnsi="楷体" w:eastAsia="楷体" w:cs="Times New Roman"/>
          <w:b/>
          <w:bCs/>
          <w:color w:val="0000FF"/>
          <w:kern w:val="0"/>
          <w:sz w:val="24"/>
          <w:szCs w:val="24"/>
        </w:rPr>
        <w:t>5.本表有关金额应与第三部分“一、预算收支总体情况”说明保持一致，并与后续表格对应项目保持数据勾稽关系一致，如：“一般公共预算拨款收入”、“政府性基金预算拨款收入”、“国有资本经营预算拨款收入”金额应与表四《</w:t>
      </w:r>
      <w:r>
        <w:rPr>
          <w:rFonts w:hint="default" w:ascii="楷体" w:hAnsi="楷体" w:eastAsia="楷体" w:cs="Times New Roman"/>
          <w:b/>
          <w:bCs/>
          <w:color w:val="0000FF"/>
          <w:kern w:val="0"/>
          <w:sz w:val="24"/>
          <w:szCs w:val="24"/>
        </w:rPr>
        <w:t>2025</w:t>
      </w:r>
      <w:r>
        <w:rPr>
          <w:rFonts w:hint="eastAsia" w:ascii="楷体" w:hAnsi="楷体" w:eastAsia="楷体" w:cs="Times New Roman"/>
          <w:b/>
          <w:bCs/>
          <w:color w:val="0000FF"/>
          <w:kern w:val="0"/>
          <w:sz w:val="24"/>
          <w:szCs w:val="24"/>
        </w:rPr>
        <w:t>年度财政拨款收支预算总表》对应项目及后续说明保持数据勾稽关系一致。</w:t>
      </w: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二、收入预算总表</w:t>
      </w:r>
    </w:p>
    <w:tbl>
      <w:tblPr>
        <w:tblW w:w="139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9"/>
        <w:gridCol w:w="91"/>
        <w:gridCol w:w="1160"/>
        <w:gridCol w:w="1017"/>
        <w:gridCol w:w="1134"/>
        <w:gridCol w:w="1134"/>
        <w:gridCol w:w="1134"/>
        <w:gridCol w:w="1134"/>
        <w:gridCol w:w="993"/>
        <w:gridCol w:w="992"/>
        <w:gridCol w:w="992"/>
        <w:gridCol w:w="992"/>
        <w:gridCol w:w="993"/>
        <w:gridCol w:w="9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2" w:hRule="atLeast"/>
        </w:trPr>
        <w:tc>
          <w:tcPr>
            <w:tcW w:w="13907" w:type="dxa"/>
            <w:gridSpan w:val="14"/>
            <w:tcBorders>
              <w:top w:val="nil"/>
              <w:left w:val="nil"/>
              <w:bottom w:val="nil"/>
              <w:right w:val="nil"/>
            </w:tcBorders>
            <w:vAlign w:val="top"/>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年度收入预算总表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240" w:type="dxa"/>
            <w:gridSpan w:val="2"/>
            <w:tcBorders>
              <w:top w:val="nil"/>
              <w:left w:val="nil"/>
              <w:bottom w:val="single" w:color="auto" w:sz="4" w:space="0"/>
              <w:right w:val="nil"/>
            </w:tcBorders>
            <w:vAlign w:val="bottom"/>
          </w:tcPr>
          <w:p>
            <w:pPr>
              <w:widowControl/>
              <w:spacing w:line="240" w:lineRule="auto"/>
              <w:jc w:val="left"/>
              <w:rPr>
                <w:rFonts w:ascii="宋体" w:hAnsi="宋体" w:eastAsia="宋体" w:cs="宋体"/>
                <w:kern w:val="0"/>
                <w:sz w:val="24"/>
                <w:szCs w:val="24"/>
              </w:rPr>
            </w:pPr>
          </w:p>
        </w:tc>
        <w:tc>
          <w:tcPr>
            <w:tcW w:w="1160" w:type="dxa"/>
            <w:tcBorders>
              <w:top w:val="nil"/>
              <w:left w:val="nil"/>
              <w:bottom w:val="single" w:color="auto" w:sz="4" w:space="0"/>
              <w:right w:val="nil"/>
            </w:tcBorders>
            <w:vAlign w:val="bottom"/>
          </w:tcPr>
          <w:p>
            <w:pPr>
              <w:widowControl/>
              <w:spacing w:line="240" w:lineRule="auto"/>
              <w:jc w:val="left"/>
              <w:rPr>
                <w:rFonts w:ascii="宋体" w:hAnsi="宋体" w:eastAsia="宋体" w:cs="宋体"/>
                <w:kern w:val="0"/>
                <w:sz w:val="24"/>
                <w:szCs w:val="24"/>
              </w:rPr>
            </w:pPr>
          </w:p>
        </w:tc>
        <w:tc>
          <w:tcPr>
            <w:tcW w:w="1017" w:type="dxa"/>
            <w:tcBorders>
              <w:top w:val="nil"/>
              <w:left w:val="nil"/>
              <w:bottom w:val="single" w:color="auto" w:sz="4" w:space="0"/>
              <w:right w:val="nil"/>
            </w:tcBorders>
            <w:vAlign w:val="center"/>
          </w:tcPr>
          <w:p>
            <w:pPr>
              <w:widowControl/>
              <w:spacing w:line="240" w:lineRule="auto"/>
              <w:jc w:val="center"/>
              <w:rPr>
                <w:rFonts w:ascii="黑体" w:hAnsi="黑体" w:eastAsia="黑体" w:cs="宋体"/>
                <w:kern w:val="0"/>
                <w:sz w:val="40"/>
                <w:szCs w:val="40"/>
              </w:rPr>
            </w:pPr>
          </w:p>
        </w:tc>
        <w:tc>
          <w:tcPr>
            <w:tcW w:w="1134" w:type="dxa"/>
            <w:tcBorders>
              <w:top w:val="nil"/>
              <w:left w:val="nil"/>
              <w:bottom w:val="single" w:color="auto" w:sz="4" w:space="0"/>
              <w:right w:val="nil"/>
            </w:tcBorders>
            <w:vAlign w:val="center"/>
          </w:tcPr>
          <w:p>
            <w:pPr>
              <w:widowControl/>
              <w:spacing w:line="240" w:lineRule="auto"/>
              <w:jc w:val="center"/>
              <w:rPr>
                <w:rFonts w:ascii="宋体" w:hAnsi="宋体" w:eastAsia="宋体" w:cs="宋体"/>
                <w:kern w:val="0"/>
                <w:sz w:val="24"/>
                <w:szCs w:val="24"/>
              </w:rPr>
            </w:pPr>
          </w:p>
        </w:tc>
        <w:tc>
          <w:tcPr>
            <w:tcW w:w="1134" w:type="dxa"/>
            <w:tcBorders>
              <w:top w:val="nil"/>
              <w:left w:val="nil"/>
              <w:bottom w:val="single" w:color="auto" w:sz="4" w:space="0"/>
              <w:right w:val="nil"/>
            </w:tcBorders>
            <w:vAlign w:val="center"/>
          </w:tcPr>
          <w:p>
            <w:pPr>
              <w:widowControl/>
              <w:spacing w:line="240" w:lineRule="auto"/>
              <w:jc w:val="center"/>
              <w:rPr>
                <w:rFonts w:ascii="宋体" w:hAnsi="宋体" w:eastAsia="宋体" w:cs="宋体"/>
                <w:kern w:val="0"/>
                <w:sz w:val="24"/>
                <w:szCs w:val="24"/>
              </w:rPr>
            </w:pPr>
          </w:p>
        </w:tc>
        <w:tc>
          <w:tcPr>
            <w:tcW w:w="1134" w:type="dxa"/>
            <w:tcBorders>
              <w:top w:val="nil"/>
              <w:left w:val="nil"/>
              <w:bottom w:val="single" w:color="auto" w:sz="4" w:space="0"/>
              <w:right w:val="nil"/>
            </w:tcBorders>
            <w:vAlign w:val="top"/>
          </w:tcPr>
          <w:p>
            <w:pPr>
              <w:widowControl/>
              <w:spacing w:line="240" w:lineRule="auto"/>
              <w:jc w:val="center"/>
              <w:rPr>
                <w:rFonts w:ascii="宋体" w:hAnsi="宋体" w:eastAsia="宋体" w:cs="宋体"/>
                <w:kern w:val="0"/>
                <w:sz w:val="24"/>
                <w:szCs w:val="24"/>
              </w:rPr>
            </w:pPr>
          </w:p>
        </w:tc>
        <w:tc>
          <w:tcPr>
            <w:tcW w:w="1134" w:type="dxa"/>
            <w:tcBorders>
              <w:top w:val="nil"/>
              <w:left w:val="nil"/>
              <w:bottom w:val="single" w:color="auto" w:sz="4" w:space="0"/>
              <w:right w:val="nil"/>
            </w:tcBorders>
            <w:vAlign w:val="center"/>
          </w:tcPr>
          <w:p>
            <w:pPr>
              <w:widowControl/>
              <w:spacing w:line="240" w:lineRule="auto"/>
              <w:jc w:val="center"/>
              <w:rPr>
                <w:rFonts w:ascii="宋体" w:hAnsi="宋体" w:eastAsia="宋体" w:cs="宋体"/>
                <w:kern w:val="0"/>
                <w:sz w:val="24"/>
                <w:szCs w:val="24"/>
              </w:rPr>
            </w:pPr>
          </w:p>
        </w:tc>
        <w:tc>
          <w:tcPr>
            <w:tcW w:w="993" w:type="dxa"/>
            <w:tcBorders>
              <w:top w:val="nil"/>
              <w:left w:val="nil"/>
              <w:bottom w:val="single" w:color="auto" w:sz="4" w:space="0"/>
              <w:right w:val="nil"/>
            </w:tcBorders>
            <w:vAlign w:val="top"/>
          </w:tcPr>
          <w:p>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nil"/>
            </w:tcBorders>
            <w:vAlign w:val="top"/>
          </w:tcPr>
          <w:p>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nil"/>
            </w:tcBorders>
            <w:vAlign w:val="top"/>
          </w:tcPr>
          <w:p>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nil"/>
            </w:tcBorders>
            <w:vAlign w:val="top"/>
          </w:tcPr>
          <w:p>
            <w:pPr>
              <w:widowControl/>
              <w:spacing w:line="240" w:lineRule="auto"/>
              <w:jc w:val="right"/>
              <w:rPr>
                <w:rFonts w:ascii="宋体" w:hAnsi="宋体" w:eastAsia="宋体" w:cs="宋体"/>
                <w:kern w:val="0"/>
                <w:sz w:val="22"/>
              </w:rPr>
            </w:pPr>
          </w:p>
        </w:tc>
        <w:tc>
          <w:tcPr>
            <w:tcW w:w="1985" w:type="dxa"/>
            <w:gridSpan w:val="2"/>
            <w:tcBorders>
              <w:top w:val="nil"/>
              <w:left w:val="nil"/>
              <w:bottom w:val="single" w:color="auto" w:sz="4" w:space="0"/>
              <w:right w:val="nil"/>
            </w:tcBorders>
            <w:vAlign w:val="center"/>
          </w:tcPr>
          <w:p>
            <w:pPr>
              <w:widowControl/>
              <w:wordWrap w:val="0"/>
              <w:spacing w:line="240" w:lineRule="auto"/>
              <w:jc w:val="right"/>
              <w:rPr>
                <w:rFonts w:ascii="宋体" w:hAnsi="宋体" w:eastAsia="宋体" w:cs="宋体"/>
                <w:kern w:val="0"/>
                <w:sz w:val="22"/>
              </w:rPr>
            </w:pPr>
            <w:r>
              <w:rPr>
                <w:rFonts w:hint="eastAsia" w:ascii="宋体" w:hAnsi="宋体" w:eastAsia="宋体" w:cs="宋体"/>
                <w:kern w:val="0"/>
                <w:sz w:val="22"/>
              </w:rPr>
              <w:t xml:space="preserve">单位：万元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37" w:hRule="atLeast"/>
        </w:trPr>
        <w:tc>
          <w:tcPr>
            <w:tcW w:w="114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125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1017"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小计</w:t>
            </w:r>
          </w:p>
        </w:tc>
        <w:tc>
          <w:tcPr>
            <w:tcW w:w="1134"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一般公共预算拨款收入</w:t>
            </w:r>
          </w:p>
        </w:tc>
        <w:tc>
          <w:tcPr>
            <w:tcW w:w="1134"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政府性基金预算拨款收入</w:t>
            </w:r>
          </w:p>
        </w:tc>
        <w:tc>
          <w:tcPr>
            <w:tcW w:w="1134"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国有资本经营预算拨款收入</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财政专户管理资金收入</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事业收入</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事业单位经营收入</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上级补助收入</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附属单位上缴收入</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其他收入</w:t>
            </w:r>
          </w:p>
        </w:tc>
        <w:tc>
          <w:tcPr>
            <w:tcW w:w="992"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400" w:type="dxa"/>
            <w:gridSpan w:val="3"/>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合计</w:t>
            </w:r>
          </w:p>
        </w:tc>
        <w:tc>
          <w:tcPr>
            <w:tcW w:w="1017"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134"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kern w:val="0"/>
                <w:sz w:val="22"/>
              </w:rPr>
            </w:pPr>
          </w:p>
        </w:tc>
        <w:tc>
          <w:tcPr>
            <w:tcW w:w="1251" w:type="dxa"/>
            <w:gridSpan w:val="2"/>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kern w:val="0"/>
                <w:sz w:val="22"/>
              </w:rPr>
            </w:pPr>
          </w:p>
        </w:tc>
        <w:tc>
          <w:tcPr>
            <w:tcW w:w="1017"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1134"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2"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kern w:val="0"/>
                <w:sz w:val="22"/>
              </w:rPr>
            </w:pPr>
          </w:p>
        </w:tc>
        <w:tc>
          <w:tcPr>
            <w:tcW w:w="1251" w:type="dxa"/>
            <w:gridSpan w:val="2"/>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kern w:val="0"/>
                <w:sz w:val="22"/>
              </w:rPr>
            </w:pPr>
          </w:p>
        </w:tc>
        <w:tc>
          <w:tcPr>
            <w:tcW w:w="1017"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1134"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c>
          <w:tcPr>
            <w:tcW w:w="992"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kern w:val="0"/>
                <w:sz w:val="24"/>
                <w:szCs w:val="24"/>
              </w:rPr>
            </w:pPr>
          </w:p>
        </w:tc>
        <w:tc>
          <w:tcPr>
            <w:tcW w:w="1251" w:type="dxa"/>
            <w:gridSpan w:val="2"/>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kern w:val="0"/>
                <w:sz w:val="24"/>
                <w:szCs w:val="24"/>
              </w:rPr>
            </w:pPr>
          </w:p>
        </w:tc>
        <w:tc>
          <w:tcPr>
            <w:tcW w:w="1017"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992"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4"/>
                <w:szCs w:val="24"/>
              </w:rPr>
              <w:t>　</w:t>
            </w: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1.本表“科目编码”填写支出功能分类项级科目编码，“科目名称”填写支出功能分类项级科目名称；</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2.本表有关项目合计金额应与表一《</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年度收支预算总表》对应项目保持数据勾稽关系一致。</w:t>
      </w:r>
    </w:p>
    <w:p>
      <w:pPr>
        <w:tabs>
          <w:tab w:val="left" w:pos="7513"/>
        </w:tabs>
        <w:adjustRightInd w:val="0"/>
        <w:snapToGrid w:val="0"/>
        <w:spacing w:line="600" w:lineRule="exact"/>
        <w:rPr>
          <w:rFonts w:ascii="宋体" w:hAnsi="宋体" w:eastAsia="宋体" w:cs="Times New Roman"/>
          <w:kern w:val="0"/>
          <w:sz w:val="36"/>
          <w:szCs w:val="20"/>
        </w:rPr>
      </w:pPr>
    </w:p>
    <w:p>
      <w:pPr>
        <w:tabs>
          <w:tab w:val="left" w:pos="7513"/>
        </w:tabs>
        <w:rPr>
          <w:rFonts w:ascii="宋体" w:hAnsi="宋体" w:eastAsia="宋体" w:cs="Times New Roman"/>
          <w:sz w:val="36"/>
          <w:szCs w:val="20"/>
        </w:rPr>
      </w:pPr>
      <w:r>
        <w:rPr>
          <w:rFonts w:ascii="宋体" w:hAnsi="宋体" w:eastAsia="宋体" w:cs="Times New Roman"/>
          <w:sz w:val="36"/>
          <w:szCs w:val="20"/>
        </w:rPr>
        <w:tab/>
      </w:r>
    </w:p>
    <w:p>
      <w:pPr>
        <w:rPr>
          <w:rFonts w:ascii="宋体" w:hAnsi="宋体" w:eastAsia="宋体" w:cs="Times New Roman"/>
          <w:sz w:val="36"/>
          <w:szCs w:val="20"/>
        </w:rPr>
      </w:pPr>
    </w:p>
    <w:p>
      <w:pPr>
        <w:rPr>
          <w:rFonts w:ascii="宋体" w:hAnsi="宋体" w:eastAsia="宋体" w:cs="Times New Roman"/>
          <w:sz w:val="36"/>
          <w:szCs w:val="20"/>
        </w:rPr>
        <w:sectPr>
          <w:pgSz w:w="16838" w:h="11906" w:orient="landscape"/>
          <w:pgMar w:top="1800" w:right="1440" w:bottom="1800" w:left="1440" w:header="851" w:footer="992" w:gutter="0"/>
          <w:cols w:space="720" w:num="1"/>
          <w:docGrid w:type="lines" w:linePitch="312" w:charSpace="0"/>
        </w:sectPr>
      </w:pP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三、支出预算总表</w:t>
      </w:r>
    </w:p>
    <w:tbl>
      <w:tblPr>
        <w:tblW w:w="1390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33"/>
        <w:gridCol w:w="3118"/>
        <w:gridCol w:w="1559"/>
        <w:gridCol w:w="1559"/>
        <w:gridCol w:w="1560"/>
        <w:gridCol w:w="1559"/>
        <w:gridCol w:w="1559"/>
        <w:gridCol w:w="1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3906" w:type="dxa"/>
            <w:gridSpan w:val="8"/>
            <w:tcBorders>
              <w:top w:val="nil"/>
              <w:left w:val="nil"/>
              <w:bottom w:val="single" w:color="auto" w:sz="4" w:space="0"/>
              <w:right w:val="nil"/>
            </w:tcBorders>
            <w:vAlign w:val="center"/>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年度支出预算总表</w:t>
            </w:r>
          </w:p>
          <w:p>
            <w:pPr>
              <w:widowControl/>
              <w:wordWrap w:val="0"/>
              <w:spacing w:line="240" w:lineRule="auto"/>
              <w:jc w:val="right"/>
              <w:rPr>
                <w:rFonts w:ascii="宋体" w:hAnsi="宋体" w:cs="宋体"/>
                <w:kern w:val="0"/>
                <w:sz w:val="20"/>
                <w:szCs w:val="32"/>
              </w:rPr>
            </w:pPr>
            <w:r>
              <w:rPr>
                <w:rFonts w:hint="eastAsia" w:ascii="宋体" w:hAnsi="宋体" w:eastAsia="宋体" w:cs="宋体"/>
                <w:kern w:val="0"/>
                <w:sz w:val="22"/>
              </w:rPr>
              <w:t xml:space="preserve">单位：万元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4" w:hRule="atLeast"/>
        </w:trPr>
        <w:tc>
          <w:tcPr>
            <w:tcW w:w="1433" w:type="dxa"/>
            <w:tcBorders>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科目编码</w:t>
            </w:r>
          </w:p>
        </w:tc>
        <w:tc>
          <w:tcPr>
            <w:tcW w:w="3118" w:type="dxa"/>
            <w:tcBorders>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科目名称</w:t>
            </w:r>
          </w:p>
        </w:tc>
        <w:tc>
          <w:tcPr>
            <w:tcW w:w="1559" w:type="dxa"/>
            <w:tcBorders>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小计</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kern w:val="0"/>
                <w:sz w:val="22"/>
              </w:rPr>
              <w:t>基本支出</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kern w:val="0"/>
                <w:sz w:val="22"/>
              </w:rPr>
              <w:t>项目支出</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事业单位经营支出</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上缴上级支出</w:t>
            </w: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55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color w:val="000000"/>
                <w:kern w:val="0"/>
                <w:sz w:val="22"/>
              </w:rPr>
            </w:pPr>
            <w:r>
              <w:rPr>
                <w:rFonts w:hint="eastAsia" w:ascii="宋体" w:hAnsi="宋体" w:eastAsia="宋体" w:cs="宋体"/>
                <w:b/>
                <w:kern w:val="0"/>
                <w:sz w:val="22"/>
              </w:rPr>
              <w:t>合计</w:t>
            </w: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60"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p>
        </w:tc>
        <w:tc>
          <w:tcPr>
            <w:tcW w:w="3118"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60"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p>
        </w:tc>
        <w:tc>
          <w:tcPr>
            <w:tcW w:w="3118"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60"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433"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kern w:val="0"/>
                <w:sz w:val="24"/>
                <w:szCs w:val="24"/>
              </w:rPr>
            </w:pPr>
          </w:p>
        </w:tc>
        <w:tc>
          <w:tcPr>
            <w:tcW w:w="3118"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宋体" w:hAnsi="宋体" w:eastAsia="宋体" w:cs="宋体"/>
                <w:kern w:val="0"/>
                <w:sz w:val="24"/>
                <w:szCs w:val="24"/>
              </w:rPr>
            </w:pP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color w:val="000000"/>
                <w:kern w:val="0"/>
                <w:sz w:val="22"/>
              </w:rPr>
              <w:t>　</w:t>
            </w:r>
          </w:p>
        </w:tc>
        <w:tc>
          <w:tcPr>
            <w:tcW w:w="1560"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24"/>
                <w:szCs w:val="24"/>
              </w:rPr>
            </w:pPr>
            <w:r>
              <w:rPr>
                <w:rFonts w:hint="eastAsia" w:ascii="宋体" w:hAnsi="宋体" w:eastAsia="宋体" w:cs="宋体"/>
                <w:color w:val="000000"/>
                <w:kern w:val="0"/>
                <w:sz w:val="22"/>
              </w:rPr>
              <w:t>　</w:t>
            </w:r>
          </w:p>
        </w:tc>
        <w:tc>
          <w:tcPr>
            <w:tcW w:w="1559" w:type="dxa"/>
            <w:tcBorders>
              <w:top w:val="single" w:color="auto" w:sz="4" w:space="0"/>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c>
          <w:tcPr>
            <w:tcW w:w="1559"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22"/>
              </w:rPr>
            </w:pP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1.本表“科目编码”填写支出功能分类项级科目编码，“科目名称”填写支出功能分类项级科目名称；</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2.本表有关项目合计金额应与表一《</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年度收支预算总表》对应项目保持数据勾稽关系一致。</w:t>
      </w:r>
    </w:p>
    <w:p>
      <w:pPr>
        <w:widowControl/>
        <w:spacing w:line="300" w:lineRule="auto"/>
        <w:jc w:val="left"/>
        <w:rPr>
          <w:rFonts w:hint="eastAsia" w:ascii="楷体" w:hAnsi="楷体" w:eastAsia="楷体" w:cs="Times New Roman"/>
          <w:b/>
          <w:bCs/>
          <w:color w:val="0000FF"/>
          <w:kern w:val="0"/>
          <w:szCs w:val="21"/>
        </w:rPr>
        <w:sectPr>
          <w:pgSz w:w="16838" w:h="11906" w:orient="landscape"/>
          <w:pgMar w:top="1800" w:right="1440" w:bottom="1800" w:left="1440" w:header="851" w:footer="992" w:gutter="0"/>
          <w:cols w:space="720" w:num="1"/>
          <w:docGrid w:type="lines" w:linePitch="312" w:charSpace="0"/>
        </w:sectPr>
      </w:pP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四、财政拨款收支预算总表</w:t>
      </w:r>
    </w:p>
    <w:tbl>
      <w:tblPr>
        <w:tblW w:w="8648"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77"/>
        <w:gridCol w:w="1276"/>
        <w:gridCol w:w="3119"/>
        <w:gridCol w:w="1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8648" w:type="dxa"/>
            <w:gridSpan w:val="4"/>
            <w:tcBorders>
              <w:top w:val="nil"/>
              <w:left w:val="nil"/>
              <w:bottom w:val="nil"/>
              <w:right w:val="nil"/>
            </w:tcBorders>
            <w:vAlign w:val="center"/>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年度财政拨款收支预算总表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648" w:type="dxa"/>
            <w:gridSpan w:val="4"/>
            <w:tcBorders>
              <w:top w:val="nil"/>
              <w:left w:val="nil"/>
              <w:bottom w:val="nil"/>
              <w:right w:val="nil"/>
            </w:tcBorders>
            <w:vAlign w:val="bottom"/>
          </w:tcPr>
          <w:p>
            <w:pPr>
              <w:widowControl/>
              <w:spacing w:line="240" w:lineRule="auto"/>
              <w:jc w:val="right"/>
              <w:rPr>
                <w:rFonts w:ascii="宋体" w:hAnsi="宋体" w:eastAsia="宋体" w:cs="宋体"/>
                <w:kern w:val="0"/>
                <w:sz w:val="24"/>
                <w:szCs w:val="24"/>
              </w:rPr>
            </w:pPr>
            <w:r>
              <w:rPr>
                <w:rFonts w:hint="eastAsia" w:ascii="宋体" w:hAnsi="宋体" w:eastAsia="宋体" w:cs="宋体"/>
                <w:kern w:val="0"/>
                <w:sz w:val="22"/>
                <w:szCs w:val="24"/>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5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收入</w:t>
            </w:r>
          </w:p>
        </w:tc>
        <w:tc>
          <w:tcPr>
            <w:tcW w:w="4395" w:type="dxa"/>
            <w:gridSpan w:val="2"/>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c>
          <w:tcPr>
            <w:tcW w:w="3119"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1276"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一、一般公共预算拨款收入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一、一般公共服务支出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二、政府性基金预算拨款收入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二、外交支出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三、国有资本经营预算拨款收入</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三、国防支出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四、公共安全支出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五、教育支出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六、科学技术支出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七、文化旅游体育与传媒支出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八、社会保障和就业支出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九、卫生健康支出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十、节能环保支出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十一、城乡社区支出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十二、农林水支出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十三、交通运输支出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十四、资源勘探工业信息等支出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十五、商业服务业等支出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十六、金融支出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十七、援助其他地区支出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十八、自然资源海洋气象等支出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十九、住房保障支出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二十、粮油物资储备支出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二十一、国有资本经营预算支出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二十二、灾害防治及应急管理支出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8"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二十三、其他支出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二十四、债务还本支出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二十五、债务付息支出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c>
          <w:tcPr>
            <w:tcW w:w="311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18"/>
                <w:szCs w:val="18"/>
              </w:rPr>
            </w:pPr>
            <w:r>
              <w:rPr>
                <w:rFonts w:hint="eastAsia" w:ascii="宋体" w:hAnsi="宋体" w:eastAsia="宋体" w:cs="宋体"/>
                <w:kern w:val="0"/>
                <w:sz w:val="18"/>
                <w:szCs w:val="18"/>
              </w:rPr>
              <w:t>二十六、债务发行费用支出</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2977"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收入合计</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　</w:t>
            </w:r>
          </w:p>
        </w:tc>
        <w:tc>
          <w:tcPr>
            <w:tcW w:w="3119" w:type="dxa"/>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支出合计</w:t>
            </w:r>
          </w:p>
        </w:tc>
        <w:tc>
          <w:tcPr>
            <w:tcW w:w="1276" w:type="dxa"/>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kern w:val="0"/>
                <w:sz w:val="22"/>
              </w:rPr>
            </w:pPr>
            <w:r>
              <w:rPr>
                <w:rFonts w:hint="eastAsia" w:ascii="宋体" w:hAnsi="宋体" w:eastAsia="宋体" w:cs="宋体"/>
                <w:b/>
                <w:kern w:val="0"/>
                <w:sz w:val="22"/>
              </w:rPr>
              <w:t>　</w:t>
            </w: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1.本表有关收入项目金额应与表一《</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年度收支预算总表》对应项目保持数据勾稽关系一致，有关支出项目金额应小于或等于表一《</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年度收支预算总表》对应项目金额；</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2.本表支出项目中没有金额的项目，可以根据需要删除；</w:t>
      </w:r>
    </w:p>
    <w:p>
      <w:pPr>
        <w:widowControl/>
        <w:spacing w:line="300" w:lineRule="auto"/>
        <w:ind w:firstLine="422" w:firstLineChars="200"/>
        <w:jc w:val="left"/>
        <w:rPr>
          <w:rFonts w:hint="eastAsia" w:ascii="楷体" w:hAnsi="楷体" w:eastAsia="楷体" w:cs="Times New Roman"/>
          <w:b/>
          <w:bCs/>
          <w:color w:val="0000FF"/>
          <w:kern w:val="0"/>
          <w:szCs w:val="21"/>
        </w:rPr>
        <w:sectPr>
          <w:pgSz w:w="11906" w:h="16838"/>
          <w:pgMar w:top="1440" w:right="1800" w:bottom="1440" w:left="1800" w:header="851" w:footer="992" w:gutter="0"/>
          <w:cols w:space="720" w:num="1"/>
          <w:docGrid w:type="lines" w:linePitch="312" w:charSpace="0"/>
        </w:sectPr>
      </w:pPr>
      <w:r>
        <w:rPr>
          <w:rFonts w:hint="eastAsia" w:ascii="楷体" w:hAnsi="楷体" w:eastAsia="楷体" w:cs="Times New Roman"/>
          <w:b/>
          <w:bCs/>
          <w:color w:val="0000FF"/>
          <w:kern w:val="0"/>
          <w:szCs w:val="21"/>
        </w:rPr>
        <w:t>3.本表没有数据的</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，应公开空表，并在表格下方说明“备注：本</w:t>
      </w:r>
      <w:r>
        <w:rPr>
          <w:rFonts w:hint="eastAsia" w:ascii="楷体" w:hAnsi="楷体" w:eastAsia="楷体" w:cs="Times New Roman"/>
          <w:b/>
          <w:bCs/>
          <w:color w:val="0000FF"/>
          <w:kern w:val="0"/>
          <w:szCs w:val="21"/>
          <w:lang w:eastAsia="zh-CN"/>
        </w:rPr>
        <w:t>单位</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年没有财政拨款收入和使用财政拨款安排的支出”。</w:t>
      </w: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五、一般公共预算拨款支出预算表</w:t>
      </w:r>
    </w:p>
    <w:tbl>
      <w:tblPr>
        <w:tblW w:w="82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9"/>
        <w:gridCol w:w="2552"/>
        <w:gridCol w:w="1559"/>
        <w:gridCol w:w="1559"/>
        <w:gridCol w:w="14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8237" w:type="dxa"/>
            <w:gridSpan w:val="5"/>
            <w:tcBorders>
              <w:top w:val="nil"/>
              <w:left w:val="nil"/>
              <w:bottom w:val="nil"/>
              <w:right w:val="nil"/>
            </w:tcBorders>
            <w:vAlign w:val="center"/>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年度一般公共预算拨款支出预算表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14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2552"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418" w:type="dxa"/>
            <w:tcBorders>
              <w:top w:val="nil"/>
              <w:left w:val="nil"/>
              <w:bottom w:val="nil"/>
              <w:right w:val="nil"/>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小计</w:t>
            </w:r>
          </w:p>
        </w:tc>
        <w:tc>
          <w:tcPr>
            <w:tcW w:w="2977" w:type="dxa"/>
            <w:gridSpan w:val="2"/>
            <w:tcBorders>
              <w:top w:val="single" w:color="auto" w:sz="4" w:space="0"/>
              <w:left w:val="nil"/>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r>
              <w:rPr>
                <w:rFonts w:hint="eastAsia" w:ascii="黑体" w:hAnsi="黑体" w:eastAsia="黑体" w:cs="宋体"/>
                <w:bCs/>
                <w:kern w:val="0"/>
                <w:sz w:val="22"/>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1559"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基本支出</w:t>
            </w:r>
          </w:p>
        </w:tc>
        <w:tc>
          <w:tcPr>
            <w:tcW w:w="1418"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701" w:type="dxa"/>
            <w:gridSpan w:val="2"/>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合计</w:t>
            </w:r>
          </w:p>
        </w:tc>
        <w:tc>
          <w:tcPr>
            <w:tcW w:w="155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1.本表“科目编码”填写支出功能分类项级科目编码，“科目名称”填写支出功能分类项级科目名称；</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2.本表合计金额应与表一《</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年度收支预算总表》、表四《</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年度财政拨款收支预算总表》对应项目保持数据勾稽关系一致；</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3.本表有关金额应与第三部分“二、一般公共预算拨款支出情况”说明保持一致；</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4.本表没有数据的</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，应公开空表，并在表格下方说明“备注：本</w:t>
      </w:r>
      <w:r>
        <w:rPr>
          <w:rFonts w:hint="eastAsia" w:ascii="楷体" w:hAnsi="楷体" w:eastAsia="楷体" w:cs="Times New Roman"/>
          <w:b/>
          <w:bCs/>
          <w:color w:val="0000FF"/>
          <w:kern w:val="0"/>
          <w:szCs w:val="21"/>
          <w:lang w:eastAsia="zh-CN"/>
        </w:rPr>
        <w:t>单位</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年没有使用一般公共预算拨款安排的支出”。</w:t>
      </w:r>
    </w:p>
    <w:p>
      <w:pPr>
        <w:widowControl/>
        <w:spacing w:line="300" w:lineRule="auto"/>
        <w:jc w:val="left"/>
        <w:rPr>
          <w:rFonts w:hint="eastAsia" w:ascii="楷体" w:hAnsi="楷体" w:eastAsia="楷体" w:cs="Times New Roman"/>
          <w:b/>
          <w:bCs/>
          <w:color w:val="0000FF"/>
          <w:kern w:val="0"/>
          <w:szCs w:val="21"/>
        </w:rPr>
        <w:sectPr>
          <w:pgSz w:w="11906" w:h="16838"/>
          <w:pgMar w:top="1440" w:right="1800" w:bottom="1440" w:left="1800" w:header="851" w:footer="992" w:gutter="0"/>
          <w:cols w:space="720" w:num="1"/>
          <w:docGrid w:type="lines" w:linePitch="312" w:charSpace="0"/>
        </w:sectPr>
      </w:pP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六、政府性基金预算拨款支出预算表</w:t>
      </w:r>
    </w:p>
    <w:tbl>
      <w:tblPr>
        <w:tblW w:w="82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9"/>
        <w:gridCol w:w="2552"/>
        <w:gridCol w:w="1559"/>
        <w:gridCol w:w="1559"/>
        <w:gridCol w:w="14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9" w:hRule="atLeast"/>
        </w:trPr>
        <w:tc>
          <w:tcPr>
            <w:tcW w:w="8237" w:type="dxa"/>
            <w:gridSpan w:val="5"/>
            <w:tcBorders>
              <w:top w:val="nil"/>
              <w:left w:val="nil"/>
              <w:bottom w:val="nil"/>
              <w:right w:val="nil"/>
            </w:tcBorders>
            <w:vAlign w:val="center"/>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年度政府性基金预算拨款支出预算表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14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2552"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418" w:type="dxa"/>
            <w:tcBorders>
              <w:top w:val="nil"/>
              <w:left w:val="nil"/>
              <w:bottom w:val="nil"/>
              <w:right w:val="nil"/>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小计</w:t>
            </w:r>
          </w:p>
        </w:tc>
        <w:tc>
          <w:tcPr>
            <w:tcW w:w="2977" w:type="dxa"/>
            <w:gridSpan w:val="2"/>
            <w:tcBorders>
              <w:top w:val="single" w:color="auto" w:sz="4" w:space="0"/>
              <w:left w:val="nil"/>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r>
              <w:rPr>
                <w:rFonts w:hint="eastAsia" w:ascii="黑体" w:hAnsi="黑体" w:eastAsia="黑体" w:cs="宋体"/>
                <w:bCs/>
                <w:kern w:val="0"/>
                <w:sz w:val="22"/>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1559"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基本支出</w:t>
            </w:r>
          </w:p>
        </w:tc>
        <w:tc>
          <w:tcPr>
            <w:tcW w:w="1418"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701" w:type="dxa"/>
            <w:gridSpan w:val="2"/>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合计</w:t>
            </w:r>
          </w:p>
        </w:tc>
        <w:tc>
          <w:tcPr>
            <w:tcW w:w="1559" w:type="dxa"/>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kern w:val="0"/>
                <w:sz w:val="22"/>
              </w:rPr>
            </w:pPr>
          </w:p>
        </w:tc>
        <w:tc>
          <w:tcPr>
            <w:tcW w:w="1559" w:type="dxa"/>
            <w:tcBorders>
              <w:top w:val="nil"/>
              <w:left w:val="nil"/>
              <w:bottom w:val="single" w:color="auto" w:sz="4" w:space="0"/>
              <w:right w:val="single" w:color="auto" w:sz="4" w:space="0"/>
            </w:tcBorders>
            <w:vAlign w:val="bottom"/>
          </w:tcPr>
          <w:p>
            <w:pPr>
              <w:widowControl/>
              <w:spacing w:line="240" w:lineRule="auto"/>
              <w:jc w:val="center"/>
              <w:rPr>
                <w:rFonts w:ascii="宋体" w:hAnsi="宋体" w:eastAsia="宋体" w:cs="宋体"/>
                <w:kern w:val="0"/>
                <w:sz w:val="22"/>
              </w:rPr>
            </w:pPr>
          </w:p>
        </w:tc>
        <w:tc>
          <w:tcPr>
            <w:tcW w:w="1418" w:type="dxa"/>
            <w:tcBorders>
              <w:top w:val="nil"/>
              <w:left w:val="nil"/>
              <w:bottom w:val="single" w:color="auto" w:sz="4" w:space="0"/>
              <w:right w:val="single" w:color="auto" w:sz="4" w:space="0"/>
            </w:tcBorders>
            <w:vAlign w:val="bottom"/>
          </w:tcPr>
          <w:p>
            <w:pPr>
              <w:widowControl/>
              <w:spacing w:line="240" w:lineRule="auto"/>
              <w:jc w:val="center"/>
              <w:rPr>
                <w:rFonts w:ascii="宋体" w:hAnsi="宋体" w:eastAsia="宋体" w:cs="宋体"/>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1.本表“科目编码”填写支出功能分类项级科目编码，“科目名称”填写支出功能分类项级科目名称；</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2.本表合计金额应与表一《</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年度收支预算总表》、表四《</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年度财政拨款收支预算总表》对应项目保持数据勾稽关系一致；</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3.本表有关金额应与第三部分“三、政府性基金预算拨款支出情况”说明保持一致；</w:t>
      </w:r>
    </w:p>
    <w:p>
      <w:pPr>
        <w:widowControl/>
        <w:spacing w:line="300" w:lineRule="auto"/>
        <w:ind w:firstLine="422" w:firstLineChars="200"/>
        <w:jc w:val="left"/>
        <w:rPr>
          <w:rFonts w:hint="eastAsia" w:ascii="楷体" w:hAnsi="楷体" w:eastAsia="楷体" w:cs="Times New Roman"/>
          <w:b/>
          <w:bCs/>
          <w:color w:val="0000FF"/>
          <w:kern w:val="0"/>
          <w:szCs w:val="21"/>
        </w:rPr>
        <w:sectPr>
          <w:pgSz w:w="11906" w:h="16838"/>
          <w:pgMar w:top="1440" w:right="1800" w:bottom="1440" w:left="1800" w:header="851" w:footer="992" w:gutter="0"/>
          <w:cols w:space="720" w:num="1"/>
          <w:docGrid w:type="lines" w:linePitch="312" w:charSpace="0"/>
        </w:sectPr>
      </w:pPr>
      <w:r>
        <w:rPr>
          <w:rFonts w:hint="eastAsia" w:ascii="楷体" w:hAnsi="楷体" w:eastAsia="楷体" w:cs="Times New Roman"/>
          <w:b/>
          <w:bCs/>
          <w:color w:val="0000FF"/>
          <w:kern w:val="0"/>
          <w:szCs w:val="21"/>
        </w:rPr>
        <w:t>4.本表没有数据的</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，应公开空表，并在表格下方说明“备注：本</w:t>
      </w:r>
      <w:r>
        <w:rPr>
          <w:rFonts w:hint="eastAsia" w:ascii="楷体" w:hAnsi="楷体" w:eastAsia="楷体" w:cs="Times New Roman"/>
          <w:b/>
          <w:bCs/>
          <w:color w:val="0000FF"/>
          <w:kern w:val="0"/>
          <w:szCs w:val="21"/>
          <w:lang w:eastAsia="zh-CN"/>
        </w:rPr>
        <w:t>单位</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年没有使用政府性基金预算拨款安排的支出”。</w:t>
      </w: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七、国有资本经营预算拨款支出预算表</w:t>
      </w:r>
    </w:p>
    <w:tbl>
      <w:tblPr>
        <w:tblW w:w="82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9"/>
        <w:gridCol w:w="2552"/>
        <w:gridCol w:w="1559"/>
        <w:gridCol w:w="1559"/>
        <w:gridCol w:w="14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9" w:hRule="atLeast"/>
        </w:trPr>
        <w:tc>
          <w:tcPr>
            <w:tcW w:w="8237" w:type="dxa"/>
            <w:gridSpan w:val="5"/>
            <w:tcBorders>
              <w:top w:val="nil"/>
              <w:left w:val="nil"/>
              <w:bottom w:val="nil"/>
              <w:right w:val="nil"/>
            </w:tcBorders>
            <w:vAlign w:val="center"/>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年度国有资本经营预算拨款支出预算表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114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2552"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559" w:type="dxa"/>
            <w:tcBorders>
              <w:top w:val="nil"/>
              <w:left w:val="nil"/>
              <w:bottom w:val="nil"/>
              <w:right w:val="nil"/>
            </w:tcBorders>
            <w:vAlign w:val="center"/>
          </w:tcPr>
          <w:p>
            <w:pPr>
              <w:widowControl/>
              <w:spacing w:line="240" w:lineRule="auto"/>
              <w:jc w:val="left"/>
              <w:rPr>
                <w:rFonts w:ascii="宋体" w:hAnsi="宋体" w:eastAsia="宋体" w:cs="宋体"/>
                <w:kern w:val="0"/>
                <w:sz w:val="24"/>
                <w:szCs w:val="24"/>
              </w:rPr>
            </w:pPr>
          </w:p>
        </w:tc>
        <w:tc>
          <w:tcPr>
            <w:tcW w:w="1418" w:type="dxa"/>
            <w:tcBorders>
              <w:top w:val="nil"/>
              <w:left w:val="nil"/>
              <w:bottom w:val="nil"/>
              <w:right w:val="nil"/>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科目编码</w:t>
            </w:r>
          </w:p>
        </w:tc>
        <w:tc>
          <w:tcPr>
            <w:tcW w:w="255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科目名称</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小计</w:t>
            </w:r>
          </w:p>
        </w:tc>
        <w:tc>
          <w:tcPr>
            <w:tcW w:w="2977" w:type="dxa"/>
            <w:gridSpan w:val="2"/>
            <w:tcBorders>
              <w:top w:val="single" w:color="auto" w:sz="4" w:space="0"/>
              <w:left w:val="nil"/>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r>
              <w:rPr>
                <w:rFonts w:hint="eastAsia" w:ascii="黑体" w:hAnsi="黑体" w:eastAsia="黑体" w:cs="宋体"/>
                <w:bCs/>
                <w:kern w:val="0"/>
                <w:sz w:val="22"/>
              </w:rPr>
              <w:t>其中：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黑体" w:hAnsi="黑体" w:eastAsia="黑体" w:cs="宋体"/>
                <w:bCs/>
                <w:kern w:val="0"/>
                <w:sz w:val="22"/>
              </w:rPr>
            </w:pPr>
          </w:p>
        </w:tc>
        <w:tc>
          <w:tcPr>
            <w:tcW w:w="1559"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基本支出</w:t>
            </w:r>
          </w:p>
        </w:tc>
        <w:tc>
          <w:tcPr>
            <w:tcW w:w="1418"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3701" w:type="dxa"/>
            <w:gridSpan w:val="2"/>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kern w:val="0"/>
                <w:sz w:val="22"/>
              </w:rPr>
            </w:pPr>
            <w:r>
              <w:rPr>
                <w:rFonts w:hint="eastAsia" w:ascii="宋体" w:hAnsi="宋体" w:eastAsia="宋体" w:cs="宋体"/>
                <w:b/>
                <w:kern w:val="0"/>
                <w:sz w:val="22"/>
              </w:rPr>
              <w:t>合计</w:t>
            </w:r>
          </w:p>
        </w:tc>
        <w:tc>
          <w:tcPr>
            <w:tcW w:w="1559" w:type="dxa"/>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kern w:val="0"/>
                <w:sz w:val="22"/>
              </w:rPr>
            </w:pPr>
          </w:p>
        </w:tc>
        <w:tc>
          <w:tcPr>
            <w:tcW w:w="1559" w:type="dxa"/>
            <w:tcBorders>
              <w:top w:val="nil"/>
              <w:left w:val="nil"/>
              <w:bottom w:val="single" w:color="auto" w:sz="4" w:space="0"/>
              <w:right w:val="single" w:color="auto" w:sz="4" w:space="0"/>
            </w:tcBorders>
            <w:vAlign w:val="bottom"/>
          </w:tcPr>
          <w:p>
            <w:pPr>
              <w:widowControl/>
              <w:spacing w:line="240" w:lineRule="auto"/>
              <w:jc w:val="center"/>
              <w:rPr>
                <w:rFonts w:ascii="宋体" w:hAnsi="宋体" w:eastAsia="宋体" w:cs="宋体"/>
                <w:kern w:val="0"/>
                <w:sz w:val="22"/>
              </w:rPr>
            </w:pPr>
          </w:p>
        </w:tc>
        <w:tc>
          <w:tcPr>
            <w:tcW w:w="1418" w:type="dxa"/>
            <w:tcBorders>
              <w:top w:val="nil"/>
              <w:left w:val="nil"/>
              <w:bottom w:val="single" w:color="auto" w:sz="4" w:space="0"/>
              <w:right w:val="single" w:color="auto" w:sz="4" w:space="0"/>
            </w:tcBorders>
            <w:vAlign w:val="bottom"/>
          </w:tcPr>
          <w:p>
            <w:pPr>
              <w:widowControl/>
              <w:spacing w:line="240" w:lineRule="auto"/>
              <w:jc w:val="center"/>
              <w:rPr>
                <w:rFonts w:ascii="宋体" w:hAnsi="宋体" w:eastAsia="宋体" w:cs="宋体"/>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2552"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559"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c>
          <w:tcPr>
            <w:tcW w:w="1418"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1.本表“科目编码”填写支出功能分类项级科目编码，“科目名称”填写支出功能分类项级科目名称；</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2.本表合计金额应与表一《</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年度收支预算总表》、表四《</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年度财政拨款收支预算总表》对应项目保持数据勾稽关系一致；</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3.本表有关金额应与第三部分“四、国有资本经营预算拨款支出情况”说明保持一致；</w:t>
      </w:r>
    </w:p>
    <w:p>
      <w:pPr>
        <w:widowControl/>
        <w:spacing w:line="300" w:lineRule="auto"/>
        <w:ind w:firstLine="422" w:firstLineChars="200"/>
        <w:jc w:val="left"/>
        <w:rPr>
          <w:rFonts w:hint="eastAsia" w:ascii="楷体" w:hAnsi="楷体" w:eastAsia="楷体" w:cs="Times New Roman"/>
          <w:b/>
          <w:bCs/>
          <w:color w:val="0000FF"/>
          <w:kern w:val="0"/>
          <w:szCs w:val="21"/>
        </w:rPr>
        <w:sectPr>
          <w:pgSz w:w="11906" w:h="16838"/>
          <w:pgMar w:top="1440" w:right="1800" w:bottom="1440" w:left="1800" w:header="851" w:footer="992" w:gutter="0"/>
          <w:cols w:space="720" w:num="1"/>
          <w:docGrid w:type="lines" w:linePitch="312" w:charSpace="0"/>
        </w:sectPr>
      </w:pPr>
      <w:r>
        <w:rPr>
          <w:rFonts w:hint="eastAsia" w:ascii="楷体" w:hAnsi="楷体" w:eastAsia="楷体" w:cs="Times New Roman"/>
          <w:b/>
          <w:bCs/>
          <w:color w:val="0000FF"/>
          <w:kern w:val="0"/>
          <w:szCs w:val="21"/>
        </w:rPr>
        <w:t>4.本表没有数据的</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，应公开空表，并在表格下方说明“备注：本</w:t>
      </w:r>
      <w:r>
        <w:rPr>
          <w:rFonts w:hint="eastAsia" w:ascii="楷体" w:hAnsi="楷体" w:eastAsia="楷体" w:cs="Times New Roman"/>
          <w:b/>
          <w:bCs/>
          <w:color w:val="0000FF"/>
          <w:kern w:val="0"/>
          <w:szCs w:val="21"/>
          <w:lang w:eastAsia="zh-CN"/>
        </w:rPr>
        <w:t>单位</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年没有使用国有资本经营预算拨款安排的支出”。</w:t>
      </w: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八、一般公共预算支出经济分类情况表</w:t>
      </w:r>
    </w:p>
    <w:tbl>
      <w:tblPr>
        <w:tblW w:w="82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5"/>
        <w:gridCol w:w="3969"/>
        <w:gridCol w:w="26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3" w:hRule="atLeast"/>
        </w:trPr>
        <w:tc>
          <w:tcPr>
            <w:tcW w:w="8237" w:type="dxa"/>
            <w:gridSpan w:val="3"/>
            <w:tcBorders>
              <w:top w:val="nil"/>
              <w:left w:val="nil"/>
              <w:bottom w:val="nil"/>
              <w:right w:val="nil"/>
            </w:tcBorders>
            <w:shd w:val="clear" w:color="000000" w:fill="FFFFFF"/>
            <w:vAlign w:val="center"/>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年度一般公共预算支出经济分类情况表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575" w:type="dxa"/>
            <w:tcBorders>
              <w:top w:val="nil"/>
              <w:left w:val="nil"/>
              <w:bottom w:val="nil"/>
              <w:right w:val="nil"/>
            </w:tcBorders>
            <w:shd w:val="clear" w:color="000000" w:fill="FFFFFF"/>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3969" w:type="dxa"/>
            <w:tcBorders>
              <w:top w:val="nil"/>
              <w:left w:val="nil"/>
              <w:bottom w:val="nil"/>
              <w:right w:val="nil"/>
            </w:tcBorders>
            <w:shd w:val="clear" w:color="auto" w:fill="auto"/>
            <w:vAlign w:val="bottom"/>
          </w:tcPr>
          <w:p>
            <w:pPr>
              <w:widowControl/>
              <w:spacing w:line="240" w:lineRule="auto"/>
              <w:jc w:val="right"/>
              <w:rPr>
                <w:rFonts w:ascii="宋体" w:hAnsi="宋体" w:eastAsia="宋体" w:cs="宋体"/>
                <w:kern w:val="0"/>
                <w:sz w:val="20"/>
                <w:szCs w:val="20"/>
              </w:rPr>
            </w:pPr>
          </w:p>
        </w:tc>
        <w:tc>
          <w:tcPr>
            <w:tcW w:w="2693" w:type="dxa"/>
            <w:tcBorders>
              <w:top w:val="nil"/>
              <w:left w:val="nil"/>
              <w:bottom w:val="nil"/>
              <w:right w:val="nil"/>
            </w:tcBorders>
            <w:shd w:val="clear" w:color="000000" w:fill="FFFFFF"/>
            <w:vAlign w:val="center"/>
          </w:tcPr>
          <w:p>
            <w:pPr>
              <w:widowControl/>
              <w:spacing w:line="240" w:lineRule="auto"/>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0" w:hRule="atLeast"/>
        </w:trPr>
        <w:tc>
          <w:tcPr>
            <w:tcW w:w="157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科目编码</w:t>
            </w:r>
          </w:p>
        </w:tc>
        <w:tc>
          <w:tcPr>
            <w:tcW w:w="3969" w:type="dxa"/>
            <w:tcBorders>
              <w:top w:val="single" w:color="000000" w:sz="4" w:space="0"/>
              <w:left w:val="nil"/>
              <w:bottom w:val="single" w:color="000000" w:sz="4" w:space="0"/>
              <w:right w:val="single" w:color="000000"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科目名称</w:t>
            </w:r>
          </w:p>
        </w:tc>
        <w:tc>
          <w:tcPr>
            <w:tcW w:w="2693" w:type="dxa"/>
            <w:tcBorders>
              <w:top w:val="single" w:color="000000" w:sz="4" w:space="0"/>
              <w:left w:val="nil"/>
              <w:bottom w:val="nil"/>
              <w:right w:val="single" w:color="000000"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54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合计</w:t>
            </w:r>
          </w:p>
        </w:tc>
        <w:tc>
          <w:tcPr>
            <w:tcW w:w="2693" w:type="dxa"/>
            <w:tcBorders>
              <w:top w:val="single" w:color="000000" w:sz="4" w:space="0"/>
              <w:left w:val="nil"/>
              <w:bottom w:val="single" w:color="000000" w:sz="4" w:space="0"/>
              <w:right w:val="single" w:color="000000" w:sz="4" w:space="0"/>
            </w:tcBorders>
            <w:vAlign w:val="center"/>
          </w:tcPr>
          <w:p>
            <w:pPr>
              <w:widowControl/>
              <w:spacing w:line="240" w:lineRule="auto"/>
              <w:jc w:val="right"/>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301</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工资福利支出</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302</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商品和服务支出</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303</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对个人和家庭的补助</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307</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债务利息及费用支出</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309</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资本性支出（基本建设）</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310</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资本性支出</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311</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对企业补助（基本建设）</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312</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对企业补助</w:t>
            </w:r>
          </w:p>
        </w:tc>
        <w:tc>
          <w:tcPr>
            <w:tcW w:w="2693" w:type="dxa"/>
            <w:tcBorders>
              <w:top w:val="nil"/>
              <w:left w:val="nil"/>
              <w:bottom w:val="single" w:color="000000" w:sz="4" w:space="0"/>
              <w:right w:val="single" w:color="000000" w:sz="4" w:space="0"/>
            </w:tcBorders>
            <w:vAlign w:val="center"/>
          </w:tcPr>
          <w:p>
            <w:pPr>
              <w:widowControl/>
              <w:spacing w:line="240" w:lineRule="auto"/>
              <w:jc w:val="righ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313</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对社会保障基金补助</w:t>
            </w:r>
          </w:p>
        </w:tc>
        <w:tc>
          <w:tcPr>
            <w:tcW w:w="2693"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000000" w:sz="4" w:space="0"/>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399</w:t>
            </w:r>
          </w:p>
        </w:tc>
        <w:tc>
          <w:tcPr>
            <w:tcW w:w="3969"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其他支出</w:t>
            </w:r>
          </w:p>
        </w:tc>
        <w:tc>
          <w:tcPr>
            <w:tcW w:w="2693" w:type="dxa"/>
            <w:tcBorders>
              <w:top w:val="nil"/>
              <w:left w:val="nil"/>
              <w:bottom w:val="single" w:color="000000" w:sz="4" w:space="0"/>
              <w:right w:val="single" w:color="000000" w:sz="4" w:space="0"/>
            </w:tcBorders>
            <w:vAlign w:val="center"/>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1.本表“科目编码”填写</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预算支出经济分类类级科目编码，“科目名称”填写</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预算支出经济分类类级科目名称；</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2.本表合计金额应与表五《</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年度一般公共预算拨款支出预算表》合计金额一致；</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3.本表没有数据的</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，应公开空表，并在表格下方说明“备注：本</w:t>
      </w:r>
      <w:r>
        <w:rPr>
          <w:rFonts w:hint="eastAsia" w:ascii="楷体" w:hAnsi="楷体" w:eastAsia="楷体" w:cs="Times New Roman"/>
          <w:b/>
          <w:bCs/>
          <w:color w:val="0000FF"/>
          <w:kern w:val="0"/>
          <w:szCs w:val="21"/>
          <w:lang w:eastAsia="zh-CN"/>
        </w:rPr>
        <w:t>单位</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年没有使用一般公共预算拨款安排的支出”。</w:t>
      </w:r>
    </w:p>
    <w:p>
      <w:pPr>
        <w:widowControl/>
        <w:spacing w:line="300" w:lineRule="auto"/>
        <w:jc w:val="left"/>
        <w:rPr>
          <w:rFonts w:hint="eastAsia" w:ascii="楷体" w:hAnsi="楷体" w:eastAsia="楷体" w:cs="Times New Roman"/>
          <w:b/>
          <w:bCs/>
          <w:color w:val="0000FF"/>
          <w:kern w:val="0"/>
          <w:szCs w:val="21"/>
        </w:rPr>
        <w:sectPr>
          <w:pgSz w:w="11906" w:h="16838"/>
          <w:pgMar w:top="1440" w:right="1800" w:bottom="1440" w:left="1800" w:header="851" w:footer="992" w:gutter="0"/>
          <w:cols w:space="720" w:num="1"/>
          <w:docGrid w:type="lines" w:linePitch="312" w:charSpace="0"/>
        </w:sectPr>
      </w:pP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九、一般公共预算基本支出经济分类情况表</w:t>
      </w:r>
    </w:p>
    <w:p>
      <w:pPr>
        <w:tabs>
          <w:tab w:val="left" w:pos="7513"/>
        </w:tabs>
        <w:adjustRightInd w:val="0"/>
        <w:snapToGrid w:val="0"/>
        <w:spacing w:line="600" w:lineRule="exact"/>
        <w:jc w:val="center"/>
        <w:rPr>
          <w:rFonts w:ascii="黑体" w:hAnsi="黑体" w:eastAsia="黑体"/>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年度一般公共预算基本支出经济分类情况表</w:t>
      </w:r>
    </w:p>
    <w:tbl>
      <w:tblPr>
        <w:tblW w:w="83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5"/>
        <w:gridCol w:w="4252"/>
        <w:gridCol w:w="2410"/>
        <w:gridCol w:w="1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142" w:type="dxa"/>
          <w:trHeight w:val="360" w:hRule="atLeast"/>
        </w:trPr>
        <w:tc>
          <w:tcPr>
            <w:tcW w:w="8237" w:type="dxa"/>
            <w:gridSpan w:val="3"/>
            <w:tcBorders>
              <w:top w:val="nil"/>
              <w:left w:val="nil"/>
              <w:bottom w:val="nil"/>
              <w:right w:val="nil"/>
            </w:tcBorders>
            <w:shd w:val="clear" w:color="000000" w:fill="FFFFFF"/>
            <w:vAlign w:val="center"/>
          </w:tcPr>
          <w:p>
            <w:pPr>
              <w:widowControl/>
              <w:spacing w:line="240" w:lineRule="auto"/>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157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科目编码</w:t>
            </w:r>
          </w:p>
        </w:tc>
        <w:tc>
          <w:tcPr>
            <w:tcW w:w="4252"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科目名称</w:t>
            </w:r>
          </w:p>
        </w:tc>
        <w:tc>
          <w:tcPr>
            <w:tcW w:w="2552" w:type="dxa"/>
            <w:gridSpan w:val="2"/>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9" w:hRule="atLeast"/>
        </w:trPr>
        <w:tc>
          <w:tcPr>
            <w:tcW w:w="582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301</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工资福利支出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30101</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基本工资</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30102</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津贴补贴</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30103</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奖金</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30106</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伙食补助费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30107</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绩效工资</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30108</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机关事业单位基本养老保险缴费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30109</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职业年金缴费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30110</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职工基本医疗保险缴费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30111</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公务员医疗补助缴费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30112</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其他社会保障缴费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30113</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住房公积金</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30114</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医疗费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30199</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其他工资福利支出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302</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商品和服务支出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30201</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30202</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印刷费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30203</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咨询费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30204</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手续费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30205</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水费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30206</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电费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30207</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邮电费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30208</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取暖费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30209</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物业管理费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30211</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差旅费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30212</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因公出国（境）费用</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30213</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维修</w:t>
            </w:r>
            <w:r>
              <w:rPr>
                <w:rFonts w:ascii="宋体" w:hAnsi="宋体" w:eastAsia="宋体" w:cs="宋体"/>
                <w:color w:val="000000"/>
                <w:kern w:val="0"/>
                <w:sz w:val="18"/>
                <w:szCs w:val="18"/>
              </w:rPr>
              <w:t>(护)费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30214</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租赁费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30215</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会议费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30216</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培训费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30217</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公务接待费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30218</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专用材料费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30224</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被装购置费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30225</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专用燃料费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30226</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劳务费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30227</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委托业务费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30228</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工会经费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30229</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福利费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30231</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公务用车运行维护费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30239</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其他交通费用</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30240</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税金及附加费用</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30299</w:t>
            </w:r>
          </w:p>
        </w:tc>
        <w:tc>
          <w:tcPr>
            <w:tcW w:w="4252" w:type="dxa"/>
            <w:tcBorders>
              <w:top w:val="nil"/>
              <w:left w:val="nil"/>
              <w:bottom w:val="single" w:color="auto" w:sz="4" w:space="0"/>
              <w:right w:val="single" w:color="auto" w:sz="4" w:space="0"/>
            </w:tcBorders>
            <w:vAlign w:val="center"/>
          </w:tcPr>
          <w:p>
            <w:pPr>
              <w:widowControl/>
              <w:spacing w:line="240" w:lineRule="auto"/>
              <w:ind w:firstLine="360" w:firstLineChars="200"/>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其他商品和服务支出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303</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对个人和家庭的补助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离休费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退休费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退职（役）费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30304</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抚恤金</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30305</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生活补助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30306</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救济费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30307</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医疗费补助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30308</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助学金</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30309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奖励金</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30310</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个人农业生产补贴</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30311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代缴社会保险费</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30399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其他对个人和家庭的补助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307</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债务利息及费用支出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30701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国内债务付息</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30702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国外债务付息</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30703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国内债务发行费用</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30704</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国外债务发行费用</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309</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资本性支出（基本建设）</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30901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房屋建筑物购建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30902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办公设备购置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30903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专用设备购置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30905</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基础设施建设</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30906</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大型修缮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30907</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信息网络及软件购置更新</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30908</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物资储备</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30913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公务用车购置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30919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其他交通工具购置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30921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文物和陈列品购置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30922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无形资产购置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30999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其他基本建设支出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310</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资本性支出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房屋建筑物购建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办公设备购置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专用设备购置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31005</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基础设施建设</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31006</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大型修缮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31007</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信息网络及软件购置更新</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31008</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物资储备</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31009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土地补偿</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31010</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安置补助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31011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地上附着物和青苗补偿</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31012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拆迁补偿</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31013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公务用车购置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31019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其他交通工具购置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31021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文物和陈列品购置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31022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无形资产购置</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31099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其他资本性支出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311</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对企业补助（基本建设）</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kern w:val="0"/>
                <w:sz w:val="18"/>
                <w:szCs w:val="18"/>
              </w:rPr>
            </w:pPr>
            <w:r>
              <w:rPr>
                <w:rFonts w:hint="eastAsia" w:ascii="宋体" w:hAnsi="宋体" w:eastAsia="宋体" w:cs="宋体"/>
                <w:b/>
                <w:bCs/>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31101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资本金注入（基本建设）</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31199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其他对企业补助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312</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对企业补助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kern w:val="0"/>
                <w:sz w:val="18"/>
                <w:szCs w:val="18"/>
              </w:rPr>
            </w:pPr>
            <w:r>
              <w:rPr>
                <w:rFonts w:hint="eastAsia" w:ascii="宋体" w:hAnsi="宋体" w:eastAsia="宋体" w:cs="宋体"/>
                <w:b/>
                <w:bCs/>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31201</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资本金注入</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31203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政府投资基金股权投资</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31204</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费用补贴</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31205</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利息补贴</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312</w:t>
            </w:r>
            <w:r>
              <w:rPr>
                <w:rFonts w:hint="eastAsia" w:ascii="宋体" w:hAnsi="宋体" w:eastAsia="宋体" w:cs="宋体"/>
                <w:color w:val="000000"/>
                <w:kern w:val="0"/>
                <w:sz w:val="18"/>
                <w:szCs w:val="18"/>
              </w:rPr>
              <w:t>06</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其他资本性补助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31299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其他对企业补助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313</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对社会保障基金补助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kern w:val="0"/>
                <w:sz w:val="18"/>
                <w:szCs w:val="18"/>
              </w:rPr>
            </w:pPr>
            <w:r>
              <w:rPr>
                <w:rFonts w:hint="eastAsia" w:ascii="宋体" w:hAnsi="宋体" w:eastAsia="宋体" w:cs="宋体"/>
                <w:b/>
                <w:bCs/>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31302</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对社会保险基金补助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31303</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补充全国社会保障基金</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Cs/>
                <w:color w:val="000000"/>
                <w:kern w:val="0"/>
                <w:sz w:val="18"/>
                <w:szCs w:val="18"/>
              </w:rPr>
            </w:pPr>
            <w:r>
              <w:rPr>
                <w:rFonts w:ascii="宋体" w:hAnsi="宋体" w:eastAsia="宋体" w:cs="宋体"/>
                <w:bCs/>
                <w:color w:val="000000"/>
                <w:kern w:val="0"/>
                <w:sz w:val="18"/>
                <w:szCs w:val="18"/>
              </w:rPr>
              <w:t>31304</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Cs/>
                <w:color w:val="000000"/>
                <w:kern w:val="0"/>
                <w:sz w:val="18"/>
                <w:szCs w:val="18"/>
              </w:rPr>
            </w:pPr>
            <w:r>
              <w:rPr>
                <w:rFonts w:ascii="宋体" w:hAnsi="宋体" w:eastAsia="宋体" w:cs="宋体"/>
                <w:bCs/>
                <w:color w:val="000000"/>
                <w:kern w:val="0"/>
                <w:sz w:val="18"/>
                <w:szCs w:val="18"/>
              </w:rPr>
              <w:t xml:space="preserve">    对机关事业单位职业年金的补助</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Cs/>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ascii="宋体" w:hAnsi="宋体" w:eastAsia="宋体" w:cs="宋体"/>
                <w:b/>
                <w:bCs/>
                <w:color w:val="000000"/>
                <w:kern w:val="0"/>
                <w:sz w:val="18"/>
                <w:szCs w:val="18"/>
              </w:rPr>
              <w:t>399</w:t>
            </w:r>
          </w:p>
        </w:tc>
        <w:tc>
          <w:tcPr>
            <w:tcW w:w="4252"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其他支出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b/>
                <w:bCs/>
                <w:kern w:val="0"/>
                <w:sz w:val="18"/>
                <w:szCs w:val="18"/>
              </w:rPr>
            </w:pPr>
            <w:r>
              <w:rPr>
                <w:rFonts w:hint="eastAsia" w:ascii="宋体" w:hAnsi="宋体" w:eastAsia="宋体" w:cs="宋体"/>
                <w:b/>
                <w:bCs/>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39907</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国家赔偿费用支出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39908</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对民间非营利组织和群众性自治组织补贴</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39909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经常性赠与</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39910</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资本性赠与</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575"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18"/>
                <w:szCs w:val="18"/>
              </w:rPr>
            </w:pPr>
            <w:r>
              <w:rPr>
                <w:rFonts w:ascii="宋体" w:hAnsi="宋体" w:eastAsia="宋体" w:cs="宋体"/>
                <w:color w:val="000000"/>
                <w:kern w:val="0"/>
                <w:sz w:val="18"/>
                <w:szCs w:val="18"/>
              </w:rPr>
              <w:t>39999</w:t>
            </w:r>
          </w:p>
        </w:tc>
        <w:tc>
          <w:tcPr>
            <w:tcW w:w="4252" w:type="dxa"/>
            <w:tcBorders>
              <w:top w:val="nil"/>
              <w:left w:val="nil"/>
              <w:bottom w:val="single" w:color="auto" w:sz="4" w:space="0"/>
              <w:right w:val="single" w:color="auto" w:sz="4" w:space="0"/>
            </w:tcBorders>
            <w:vAlign w:val="center"/>
          </w:tcPr>
          <w:p>
            <w:pPr>
              <w:widowControl/>
              <w:spacing w:line="240" w:lineRule="auto"/>
              <w:ind w:firstLine="374" w:firstLineChars="208"/>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其他支出</w:t>
            </w:r>
          </w:p>
        </w:tc>
        <w:tc>
          <w:tcPr>
            <w:tcW w:w="2552" w:type="dxa"/>
            <w:gridSpan w:val="2"/>
            <w:tcBorders>
              <w:top w:val="nil"/>
              <w:left w:val="nil"/>
              <w:bottom w:val="single" w:color="auto" w:sz="4" w:space="0"/>
              <w:right w:val="single" w:color="auto" w:sz="4" w:space="0"/>
            </w:tcBorders>
            <w:vAlign w:val="center"/>
          </w:tcPr>
          <w:p>
            <w:pPr>
              <w:widowControl/>
              <w:spacing w:line="240" w:lineRule="auto"/>
              <w:jc w:val="right"/>
              <w:rPr>
                <w:rFonts w:ascii="宋体" w:hAnsi="宋体" w:eastAsia="宋体" w:cs="宋体"/>
                <w:kern w:val="0"/>
                <w:sz w:val="18"/>
                <w:szCs w:val="18"/>
              </w:rPr>
            </w:pPr>
            <w:r>
              <w:rPr>
                <w:rFonts w:hint="eastAsia" w:ascii="宋体" w:hAnsi="宋体" w:eastAsia="宋体" w:cs="宋体"/>
                <w:kern w:val="0"/>
                <w:sz w:val="18"/>
                <w:szCs w:val="18"/>
              </w:rPr>
              <w:t>　</w:t>
            </w:r>
          </w:p>
        </w:tc>
      </w:tr>
    </w:tbl>
    <w:p>
      <w:pPr>
        <w:widowControl/>
        <w:spacing w:line="300" w:lineRule="auto"/>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编报说明（制作文本时请删除“编报说明”内容）：</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1.“科目编码”分别填写</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预算支出经济分类类级和款级科目编码，“科目名称”分别填写</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预算支出经济分类类级和款级科目名称；</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2.本表无数据的行可以删除；</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3.本表有关合计数金额应与第三部分“五、一般公共预算拨款基本支出情况”说明保持一致，并与表五《</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年度一般公共预算拨款支出预算表》“基本支出”有关金额保持一致；</w:t>
      </w:r>
    </w:p>
    <w:p>
      <w:pPr>
        <w:widowControl/>
        <w:spacing w:line="300" w:lineRule="auto"/>
        <w:ind w:firstLine="422" w:firstLineChars="200"/>
        <w:jc w:val="left"/>
        <w:rPr>
          <w:rFonts w:hint="eastAsia" w:ascii="楷体" w:hAnsi="楷体" w:eastAsia="楷体" w:cs="Times New Roman"/>
          <w:b/>
          <w:bCs/>
          <w:color w:val="0000FF"/>
          <w:kern w:val="0"/>
          <w:szCs w:val="21"/>
        </w:rPr>
      </w:pPr>
      <w:r>
        <w:rPr>
          <w:rFonts w:hint="eastAsia" w:ascii="楷体" w:hAnsi="楷体" w:eastAsia="楷体" w:cs="Times New Roman"/>
          <w:b/>
          <w:bCs/>
          <w:color w:val="0000FF"/>
          <w:kern w:val="0"/>
          <w:szCs w:val="21"/>
        </w:rPr>
        <w:t>4.本表涉及“三公”经费的</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预算支出经济分类科目金额应小于或等于表十《</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年度一般公共预算“三公”经费支出预算表》中对应项目金额；</w:t>
      </w:r>
    </w:p>
    <w:p>
      <w:pPr>
        <w:widowControl/>
        <w:spacing w:line="300" w:lineRule="auto"/>
        <w:ind w:firstLine="422" w:firstLineChars="200"/>
        <w:jc w:val="left"/>
        <w:rPr>
          <w:rFonts w:hint="eastAsia" w:ascii="楷体" w:hAnsi="楷体" w:eastAsia="楷体" w:cs="Times New Roman"/>
          <w:b/>
          <w:bCs/>
          <w:color w:val="0000FF"/>
          <w:kern w:val="0"/>
          <w:szCs w:val="21"/>
        </w:rPr>
        <w:sectPr>
          <w:pgSz w:w="11906" w:h="16838"/>
          <w:pgMar w:top="1440" w:right="1800" w:bottom="1440" w:left="1800" w:header="851" w:footer="992" w:gutter="0"/>
          <w:cols w:space="720" w:num="1"/>
          <w:docGrid w:type="lines" w:linePitch="312" w:charSpace="0"/>
        </w:sectPr>
      </w:pPr>
      <w:r>
        <w:rPr>
          <w:rFonts w:hint="eastAsia" w:ascii="楷体" w:hAnsi="楷体" w:eastAsia="楷体" w:cs="Times New Roman"/>
          <w:b/>
          <w:bCs/>
          <w:color w:val="0000FF"/>
          <w:kern w:val="0"/>
          <w:szCs w:val="21"/>
        </w:rPr>
        <w:t>5.本表没有数据的</w:t>
      </w:r>
      <w:r>
        <w:rPr>
          <w:rFonts w:hint="eastAsia" w:ascii="楷体" w:hAnsi="楷体" w:eastAsia="楷体" w:cs="Times New Roman"/>
          <w:b/>
          <w:bCs/>
          <w:color w:val="0000FF"/>
          <w:kern w:val="0"/>
          <w:szCs w:val="21"/>
          <w:lang w:eastAsia="zh-CN"/>
        </w:rPr>
        <w:t>单位</w:t>
      </w:r>
      <w:r>
        <w:rPr>
          <w:rFonts w:hint="eastAsia" w:ascii="楷体" w:hAnsi="楷体" w:eastAsia="楷体" w:cs="Times New Roman"/>
          <w:b/>
          <w:bCs/>
          <w:color w:val="0000FF"/>
          <w:kern w:val="0"/>
          <w:szCs w:val="21"/>
        </w:rPr>
        <w:t>，应公开空表，并在表格下方说明“备注：本</w:t>
      </w:r>
      <w:r>
        <w:rPr>
          <w:rFonts w:hint="eastAsia" w:ascii="楷体" w:hAnsi="楷体" w:eastAsia="楷体" w:cs="Times New Roman"/>
          <w:b/>
          <w:bCs/>
          <w:color w:val="0000FF"/>
          <w:kern w:val="0"/>
          <w:szCs w:val="21"/>
          <w:lang w:eastAsia="zh-CN"/>
        </w:rPr>
        <w:t>单位</w:t>
      </w:r>
      <w:r>
        <w:rPr>
          <w:rFonts w:hint="default" w:ascii="楷体" w:hAnsi="楷体" w:eastAsia="楷体" w:cs="Times New Roman"/>
          <w:b/>
          <w:bCs/>
          <w:color w:val="0000FF"/>
          <w:kern w:val="0"/>
          <w:szCs w:val="21"/>
        </w:rPr>
        <w:t>2025</w:t>
      </w:r>
      <w:r>
        <w:rPr>
          <w:rFonts w:hint="eastAsia" w:ascii="楷体" w:hAnsi="楷体" w:eastAsia="楷体" w:cs="Times New Roman"/>
          <w:b/>
          <w:bCs/>
          <w:color w:val="0000FF"/>
          <w:kern w:val="0"/>
          <w:szCs w:val="21"/>
        </w:rPr>
        <w:t>年没有使用一般公共预算拨款安排的</w:t>
      </w:r>
      <w:r>
        <w:rPr>
          <w:rFonts w:hint="eastAsia" w:ascii="楷体" w:hAnsi="楷体" w:eastAsia="楷体" w:cs="Times New Roman"/>
          <w:b/>
          <w:bCs/>
          <w:color w:val="0000FF"/>
          <w:kern w:val="0"/>
          <w:szCs w:val="21"/>
          <w:lang w:val="en-US" w:eastAsia="zh-CN"/>
        </w:rPr>
        <w:t>基本</w:t>
      </w:r>
      <w:r>
        <w:rPr>
          <w:rFonts w:hint="eastAsia" w:ascii="楷体" w:hAnsi="楷体" w:eastAsia="楷体" w:cs="Times New Roman"/>
          <w:b/>
          <w:bCs/>
          <w:color w:val="0000FF"/>
          <w:kern w:val="0"/>
          <w:szCs w:val="21"/>
        </w:rPr>
        <w:t>支出”。</w:t>
      </w: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十、一般公共预算“三公”经费支出预算表</w:t>
      </w:r>
    </w:p>
    <w:tbl>
      <w:tblPr>
        <w:tblW w:w="784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8"/>
        <w:gridCol w:w="3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0" w:hRule="atLeast"/>
        </w:trPr>
        <w:tc>
          <w:tcPr>
            <w:tcW w:w="7848" w:type="dxa"/>
            <w:gridSpan w:val="2"/>
            <w:tcBorders>
              <w:top w:val="nil"/>
              <w:left w:val="nil"/>
              <w:bottom w:val="nil"/>
              <w:right w:val="nil"/>
            </w:tcBorders>
            <w:vAlign w:val="center"/>
          </w:tcPr>
          <w:p>
            <w:pPr>
              <w:widowControl/>
              <w:spacing w:line="240" w:lineRule="auto"/>
              <w:jc w:val="center"/>
              <w:rPr>
                <w:rFonts w:ascii="方正小标宋简体" w:hAnsi="黑体" w:eastAsia="方正小标宋简体" w:cs="宋体"/>
                <w:kern w:val="0"/>
                <w:sz w:val="32"/>
                <w:szCs w:val="32"/>
              </w:rPr>
            </w:pPr>
            <w:r>
              <w:rPr>
                <w:rFonts w:hint="eastAsia" w:ascii="方正小标宋简体" w:hAnsi="黑体" w:eastAsia="方正小标宋简体" w:cs="宋体"/>
                <w:kern w:val="0"/>
                <w:sz w:val="32"/>
                <w:szCs w:val="32"/>
                <w:lang w:val="en-US" w:eastAsia="zh-CN"/>
              </w:rPr>
              <w:t>2025</w:t>
            </w:r>
            <w:r>
              <w:rPr>
                <w:rFonts w:hint="eastAsia" w:ascii="方正小标宋简体" w:hAnsi="黑体" w:eastAsia="方正小标宋简体" w:cs="宋体"/>
                <w:kern w:val="0"/>
                <w:sz w:val="32"/>
                <w:szCs w:val="32"/>
              </w:rPr>
              <w:t>年度一般公共预算“三公”经费支出预算表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268" w:type="dxa"/>
            <w:tcBorders>
              <w:top w:val="nil"/>
              <w:left w:val="nil"/>
              <w:bottom w:val="nil"/>
              <w:right w:val="nil"/>
            </w:tcBorders>
            <w:vAlign w:val="center"/>
          </w:tcPr>
          <w:p>
            <w:pPr>
              <w:widowControl/>
              <w:spacing w:line="240" w:lineRule="auto"/>
              <w:jc w:val="left"/>
              <w:rPr>
                <w:rFonts w:ascii="楷体_GB2312" w:hAnsi="宋体" w:eastAsia="楷体_GB2312" w:cs="宋体"/>
                <w:kern w:val="0"/>
                <w:sz w:val="24"/>
                <w:szCs w:val="24"/>
              </w:rPr>
            </w:pPr>
          </w:p>
        </w:tc>
        <w:tc>
          <w:tcPr>
            <w:tcW w:w="3580" w:type="dxa"/>
            <w:tcBorders>
              <w:top w:val="nil"/>
              <w:left w:val="nil"/>
              <w:bottom w:val="nil"/>
              <w:right w:val="nil"/>
            </w:tcBorders>
            <w:vAlign w:val="center"/>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68"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项目</w:t>
            </w:r>
          </w:p>
        </w:tc>
        <w:tc>
          <w:tcPr>
            <w:tcW w:w="3580"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kern w:val="0"/>
                <w:sz w:val="22"/>
              </w:rPr>
            </w:pPr>
            <w:r>
              <w:rPr>
                <w:rFonts w:hint="eastAsia" w:ascii="黑体" w:hAnsi="黑体" w:eastAsia="黑体" w:cs="宋体"/>
                <w:bCs/>
                <w:kern w:val="0"/>
                <w:sz w:val="22"/>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4268"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b/>
                <w:bCs/>
                <w:kern w:val="0"/>
                <w:sz w:val="22"/>
              </w:rPr>
            </w:pPr>
            <w:r>
              <w:rPr>
                <w:rFonts w:hint="eastAsia" w:ascii="宋体" w:hAnsi="宋体" w:eastAsia="宋体" w:cs="宋体"/>
                <w:b/>
                <w:bCs/>
                <w:kern w:val="0"/>
                <w:sz w:val="22"/>
              </w:rPr>
              <w:t>合计</w:t>
            </w:r>
          </w:p>
        </w:tc>
        <w:tc>
          <w:tcPr>
            <w:tcW w:w="358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1、因公出国（境）费用</w:t>
            </w:r>
          </w:p>
        </w:tc>
        <w:tc>
          <w:tcPr>
            <w:tcW w:w="358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2、公务接待费</w:t>
            </w:r>
          </w:p>
        </w:tc>
        <w:tc>
          <w:tcPr>
            <w:tcW w:w="358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3、公务用车购置及运行费</w:t>
            </w:r>
          </w:p>
        </w:tc>
        <w:tc>
          <w:tcPr>
            <w:tcW w:w="358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vAlign w:val="center"/>
          </w:tcPr>
          <w:p>
            <w:pPr>
              <w:widowControl/>
              <w:spacing w:line="240" w:lineRule="auto"/>
              <w:ind w:firstLine="440" w:firstLineChars="200"/>
              <w:jc w:val="left"/>
              <w:rPr>
                <w:rFonts w:ascii="宋体" w:hAnsi="宋体" w:eastAsia="宋体" w:cs="宋体"/>
                <w:kern w:val="0"/>
                <w:sz w:val="22"/>
              </w:rPr>
            </w:pPr>
            <w:r>
              <w:rPr>
                <w:rFonts w:hint="eastAsia" w:ascii="宋体" w:hAnsi="宋体" w:eastAsia="宋体" w:cs="宋体"/>
                <w:kern w:val="0"/>
                <w:sz w:val="22"/>
              </w:rPr>
              <w:t>其中：（1）公务用车购置费</w:t>
            </w:r>
          </w:p>
        </w:tc>
        <w:tc>
          <w:tcPr>
            <w:tcW w:w="358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4268"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xml:space="preserve">          （2）公务用车运行费</w:t>
            </w:r>
          </w:p>
        </w:tc>
        <w:tc>
          <w:tcPr>
            <w:tcW w:w="358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kern w:val="0"/>
                <w:sz w:val="22"/>
              </w:rPr>
            </w:pPr>
            <w:r>
              <w:rPr>
                <w:rFonts w:hint="eastAsia" w:ascii="宋体" w:hAnsi="宋体" w:eastAsia="宋体" w:cs="宋体"/>
                <w:kern w:val="0"/>
                <w:sz w:val="22"/>
              </w:rPr>
              <w:t>　</w:t>
            </w:r>
          </w:p>
        </w:tc>
      </w:tr>
    </w:tbl>
    <w:p>
      <w:pPr>
        <w:tabs>
          <w:tab w:val="left" w:pos="7513"/>
        </w:tabs>
        <w:adjustRightInd w:val="0"/>
        <w:snapToGrid w:val="0"/>
        <w:spacing w:line="300" w:lineRule="auto"/>
        <w:jc w:val="left"/>
        <w:rPr>
          <w:rFonts w:hint="eastAsia" w:ascii="楷体" w:hAnsi="楷体" w:eastAsia="楷体" w:cs="Times New Roman"/>
          <w:b/>
          <w:bCs/>
          <w:color w:val="0000FF"/>
          <w:kern w:val="0"/>
          <w:sz w:val="21"/>
          <w:szCs w:val="21"/>
        </w:rPr>
      </w:pPr>
      <w:r>
        <w:rPr>
          <w:rFonts w:hint="eastAsia" w:ascii="楷体" w:hAnsi="楷体" w:eastAsia="楷体" w:cs="Times New Roman"/>
          <w:b/>
          <w:bCs/>
          <w:color w:val="0000FF"/>
          <w:kern w:val="0"/>
          <w:sz w:val="21"/>
          <w:szCs w:val="21"/>
        </w:rPr>
        <w:t>编报说明（制作文本时请删除“编报说明”内容）：</w:t>
      </w:r>
    </w:p>
    <w:p>
      <w:pPr>
        <w:tabs>
          <w:tab w:val="left" w:pos="7513"/>
        </w:tabs>
        <w:adjustRightInd w:val="0"/>
        <w:snapToGrid w:val="0"/>
        <w:spacing w:line="300" w:lineRule="auto"/>
        <w:ind w:firstLine="422" w:firstLineChars="200"/>
        <w:jc w:val="left"/>
        <w:rPr>
          <w:rFonts w:hint="eastAsia" w:ascii="楷体" w:hAnsi="楷体" w:eastAsia="楷体" w:cs="Times New Roman"/>
          <w:b/>
          <w:bCs/>
          <w:color w:val="0000FF"/>
          <w:kern w:val="0"/>
          <w:sz w:val="21"/>
          <w:szCs w:val="21"/>
        </w:rPr>
      </w:pPr>
      <w:r>
        <w:rPr>
          <w:rFonts w:hint="eastAsia" w:ascii="楷体" w:hAnsi="楷体" w:eastAsia="楷体" w:cs="Times New Roman"/>
          <w:b/>
          <w:bCs/>
          <w:color w:val="0000FF"/>
          <w:kern w:val="0"/>
          <w:sz w:val="21"/>
          <w:szCs w:val="21"/>
        </w:rPr>
        <w:t>1.本表不能留空，没有金额的栏位必须标“0”；</w:t>
      </w:r>
    </w:p>
    <w:p>
      <w:pPr>
        <w:tabs>
          <w:tab w:val="left" w:pos="7513"/>
        </w:tabs>
        <w:adjustRightInd w:val="0"/>
        <w:snapToGrid w:val="0"/>
        <w:spacing w:line="300" w:lineRule="auto"/>
        <w:ind w:firstLine="422" w:firstLineChars="200"/>
        <w:jc w:val="left"/>
        <w:rPr>
          <w:rFonts w:hint="eastAsia" w:ascii="楷体" w:hAnsi="楷体" w:eastAsia="楷体" w:cs="Times New Roman"/>
          <w:b/>
          <w:bCs/>
          <w:color w:val="0000FF"/>
          <w:kern w:val="0"/>
          <w:sz w:val="21"/>
          <w:szCs w:val="21"/>
        </w:rPr>
      </w:pPr>
      <w:r>
        <w:rPr>
          <w:rFonts w:hint="eastAsia" w:ascii="楷体" w:hAnsi="楷体" w:eastAsia="楷体" w:cs="Times New Roman"/>
          <w:b/>
          <w:bCs/>
          <w:color w:val="0000FF"/>
          <w:kern w:val="0"/>
          <w:sz w:val="21"/>
          <w:szCs w:val="21"/>
        </w:rPr>
        <w:t>2.本表有关金额应与第三部分“六、一般公共预算‘三公’经费支出情况”说明保持一致；</w:t>
      </w:r>
    </w:p>
    <w:p>
      <w:pPr>
        <w:tabs>
          <w:tab w:val="left" w:pos="7513"/>
        </w:tabs>
        <w:adjustRightInd w:val="0"/>
        <w:snapToGrid w:val="0"/>
        <w:spacing w:line="300" w:lineRule="auto"/>
        <w:ind w:firstLine="422" w:firstLineChars="200"/>
        <w:jc w:val="left"/>
        <w:rPr>
          <w:rFonts w:hint="eastAsia" w:ascii="楷体" w:hAnsi="楷体" w:eastAsia="楷体" w:cs="Times New Roman"/>
          <w:b/>
          <w:bCs/>
          <w:color w:val="0000FF"/>
          <w:kern w:val="0"/>
          <w:sz w:val="21"/>
          <w:szCs w:val="21"/>
        </w:rPr>
      </w:pPr>
      <w:r>
        <w:rPr>
          <w:rFonts w:hint="eastAsia" w:ascii="楷体" w:hAnsi="楷体" w:eastAsia="楷体" w:cs="Times New Roman"/>
          <w:b/>
          <w:bCs/>
          <w:color w:val="0000FF"/>
          <w:kern w:val="0"/>
          <w:sz w:val="21"/>
          <w:szCs w:val="21"/>
        </w:rPr>
        <w:t>3.本表没有数据的</w:t>
      </w:r>
      <w:r>
        <w:rPr>
          <w:rFonts w:hint="eastAsia" w:ascii="楷体" w:hAnsi="楷体" w:eastAsia="楷体" w:cs="Times New Roman"/>
          <w:b/>
          <w:bCs/>
          <w:color w:val="0000FF"/>
          <w:kern w:val="0"/>
          <w:sz w:val="21"/>
          <w:szCs w:val="21"/>
          <w:lang w:eastAsia="zh-CN"/>
        </w:rPr>
        <w:t>单位</w:t>
      </w:r>
      <w:r>
        <w:rPr>
          <w:rFonts w:hint="eastAsia" w:ascii="楷体" w:hAnsi="楷体" w:eastAsia="楷体" w:cs="Times New Roman"/>
          <w:b/>
          <w:bCs/>
          <w:color w:val="0000FF"/>
          <w:kern w:val="0"/>
          <w:sz w:val="21"/>
          <w:szCs w:val="21"/>
        </w:rPr>
        <w:t>，应在所有栏位标“0”，并在表格下方说明“备注：本</w:t>
      </w:r>
      <w:r>
        <w:rPr>
          <w:rFonts w:hint="eastAsia" w:ascii="楷体" w:hAnsi="楷体" w:eastAsia="楷体" w:cs="Times New Roman"/>
          <w:b/>
          <w:bCs/>
          <w:color w:val="0000FF"/>
          <w:kern w:val="0"/>
          <w:sz w:val="21"/>
          <w:szCs w:val="21"/>
          <w:lang w:eastAsia="zh-CN"/>
        </w:rPr>
        <w:t>单位</w:t>
      </w:r>
      <w:r>
        <w:rPr>
          <w:rFonts w:hint="eastAsia" w:ascii="楷体" w:hAnsi="楷体" w:eastAsia="楷体" w:cs="Times New Roman"/>
          <w:b/>
          <w:bCs/>
          <w:color w:val="0000FF"/>
          <w:kern w:val="0"/>
          <w:sz w:val="21"/>
          <w:szCs w:val="21"/>
          <w:lang w:val="en-US" w:eastAsia="zh-CN"/>
        </w:rPr>
        <w:t>2025</w:t>
      </w:r>
      <w:r>
        <w:rPr>
          <w:rFonts w:hint="eastAsia" w:ascii="楷体" w:hAnsi="楷体" w:eastAsia="楷体" w:cs="Times New Roman"/>
          <w:b/>
          <w:bCs/>
          <w:color w:val="0000FF"/>
          <w:kern w:val="0"/>
          <w:sz w:val="21"/>
          <w:szCs w:val="21"/>
        </w:rPr>
        <w:t>年度没有一般公共预算安排的‘三公’经费支出”。</w:t>
      </w:r>
    </w:p>
    <w:p>
      <w:pPr>
        <w:tabs>
          <w:tab w:val="left" w:pos="7513"/>
        </w:tabs>
        <w:adjustRightInd w:val="0"/>
        <w:snapToGrid w:val="0"/>
        <w:spacing w:line="300" w:lineRule="auto"/>
        <w:ind w:firstLine="422" w:firstLineChars="200"/>
        <w:jc w:val="left"/>
        <w:rPr>
          <w:rFonts w:hint="eastAsia" w:ascii="楷体" w:hAnsi="楷体" w:eastAsia="楷体" w:cs="Times New Roman"/>
          <w:b/>
          <w:bCs/>
          <w:color w:val="0000FF"/>
          <w:kern w:val="0"/>
          <w:sz w:val="21"/>
          <w:szCs w:val="21"/>
        </w:rPr>
        <w:sectPr>
          <w:pgSz w:w="11906" w:h="16838"/>
          <w:pgMar w:top="1440" w:right="1800" w:bottom="1440" w:left="1800" w:header="851" w:footer="992" w:gutter="0"/>
          <w:cols w:space="720" w:num="1"/>
          <w:docGrid w:type="lines" w:linePitch="312" w:charSpace="0"/>
        </w:sectPr>
      </w:pPr>
      <w:r>
        <w:rPr>
          <w:rFonts w:hint="eastAsia" w:ascii="楷体" w:hAnsi="楷体" w:eastAsia="楷体" w:cs="Times New Roman"/>
          <w:b/>
          <w:bCs/>
          <w:color w:val="0000FF"/>
          <w:kern w:val="0"/>
          <w:sz w:val="21"/>
          <w:szCs w:val="21"/>
          <w:lang w:val="en-US" w:eastAsia="zh-CN"/>
        </w:rPr>
        <w:t>4</w:t>
      </w:r>
      <w:r>
        <w:rPr>
          <w:rFonts w:hint="eastAsia" w:ascii="楷体" w:hAnsi="楷体" w:eastAsia="楷体" w:cs="Times New Roman"/>
          <w:b/>
          <w:bCs/>
          <w:color w:val="0000FF"/>
          <w:kern w:val="0"/>
          <w:szCs w:val="21"/>
        </w:rPr>
        <w:t>.本表</w:t>
      </w:r>
      <w:r>
        <w:rPr>
          <w:rFonts w:hint="eastAsia" w:ascii="楷体" w:hAnsi="楷体" w:eastAsia="楷体" w:cs="Times New Roman"/>
          <w:b/>
          <w:bCs/>
          <w:color w:val="0000FF"/>
          <w:kern w:val="0"/>
          <w:szCs w:val="21"/>
          <w:lang w:eastAsia="zh-CN"/>
        </w:rPr>
        <w:t>一体化系统导出的数据为单位在预算管理一体化中细化的金额，若与财政批复的“三公”控制数不符的，应按财政批复“三公”控制数修改，并再次检查表</w:t>
      </w:r>
      <w:r>
        <w:rPr>
          <w:rFonts w:hint="eastAsia" w:ascii="楷体" w:hAnsi="楷体" w:eastAsia="楷体" w:cs="Times New Roman"/>
          <w:b/>
          <w:bCs/>
          <w:color w:val="0000FF"/>
          <w:kern w:val="0"/>
          <w:szCs w:val="21"/>
          <w:lang w:val="en-US" w:eastAsia="zh-CN"/>
        </w:rPr>
        <w:t>9</w:t>
      </w:r>
      <w:r>
        <w:rPr>
          <w:rFonts w:hint="eastAsia" w:ascii="楷体" w:hAnsi="楷体" w:eastAsia="楷体" w:cs="Times New Roman"/>
          <w:b/>
          <w:bCs/>
          <w:color w:val="0000FF"/>
          <w:kern w:val="0"/>
          <w:szCs w:val="21"/>
        </w:rPr>
        <w:t>涉及“三公”经费的部门预算支出经济分类科目金额应小于或等于</w:t>
      </w:r>
      <w:r>
        <w:rPr>
          <w:rFonts w:hint="eastAsia" w:ascii="楷体" w:hAnsi="楷体" w:eastAsia="楷体" w:cs="Times New Roman"/>
          <w:b/>
          <w:bCs/>
          <w:color w:val="0000FF"/>
          <w:kern w:val="0"/>
          <w:szCs w:val="21"/>
          <w:lang w:eastAsia="zh-CN"/>
        </w:rPr>
        <w:t>本表相应数据。</w:t>
      </w:r>
    </w:p>
    <w:p>
      <w:pPr>
        <w:tabs>
          <w:tab w:val="left" w:pos="7513"/>
        </w:tabs>
        <w:adjustRightInd w:val="0"/>
        <w:snapToGrid w:val="0"/>
        <w:spacing w:line="600" w:lineRule="exact"/>
        <w:rPr>
          <w:rFonts w:ascii="黑体" w:hAnsi="黑体" w:eastAsia="黑体"/>
          <w:sz w:val="32"/>
          <w:szCs w:val="32"/>
        </w:rPr>
      </w:pPr>
      <w:r>
        <w:rPr>
          <w:rFonts w:hint="eastAsia" w:ascii="黑体" w:hAnsi="黑体" w:eastAsia="黑体"/>
          <w:sz w:val="32"/>
          <w:szCs w:val="32"/>
        </w:rPr>
        <w:t>十一、</w:t>
      </w:r>
      <w:r>
        <w:rPr>
          <w:rFonts w:hint="eastAsia" w:ascii="黑体" w:hAnsi="黑体" w:eastAsia="黑体"/>
          <w:sz w:val="32"/>
          <w:szCs w:val="32"/>
          <w:lang w:eastAsia="zh-CN"/>
        </w:rPr>
        <w:t>单位</w:t>
      </w:r>
      <w:r>
        <w:rPr>
          <w:rFonts w:hint="eastAsia" w:ascii="黑体" w:hAnsi="黑体" w:eastAsia="黑体"/>
          <w:sz w:val="32"/>
          <w:szCs w:val="32"/>
        </w:rPr>
        <w:t>专项资金管理清单目录</w:t>
      </w:r>
    </w:p>
    <w:tbl>
      <w:tblPr>
        <w:tblW w:w="139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9"/>
        <w:gridCol w:w="1354"/>
        <w:gridCol w:w="1056"/>
        <w:gridCol w:w="1134"/>
        <w:gridCol w:w="1134"/>
        <w:gridCol w:w="1134"/>
        <w:gridCol w:w="1134"/>
        <w:gridCol w:w="1040"/>
        <w:gridCol w:w="1200"/>
        <w:gridCol w:w="1200"/>
        <w:gridCol w:w="1188"/>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13998" w:type="dxa"/>
            <w:gridSpan w:val="12"/>
            <w:tcBorders>
              <w:top w:val="nil"/>
              <w:left w:val="nil"/>
              <w:bottom w:val="nil"/>
              <w:right w:val="nil"/>
            </w:tcBorders>
            <w:vAlign w:val="top"/>
          </w:tcPr>
          <w:p>
            <w:pPr>
              <w:widowControl/>
              <w:spacing w:line="240" w:lineRule="auto"/>
              <w:jc w:val="center"/>
              <w:rPr>
                <w:rFonts w:ascii="方正小标宋简体" w:hAnsi="宋体" w:eastAsia="方正小标宋简体" w:cs="宋体"/>
                <w:kern w:val="0"/>
                <w:sz w:val="32"/>
                <w:szCs w:val="32"/>
              </w:rPr>
            </w:pPr>
            <w:r>
              <w:rPr>
                <w:rFonts w:hint="eastAsia" w:ascii="方正小标宋简体" w:hAnsi="宋体" w:eastAsia="方正小标宋简体" w:cs="宋体"/>
                <w:kern w:val="0"/>
                <w:sz w:val="32"/>
                <w:szCs w:val="32"/>
                <w:lang w:val="en-US" w:eastAsia="zh-CN"/>
              </w:rPr>
              <w:t>2025</w:t>
            </w:r>
            <w:r>
              <w:rPr>
                <w:rFonts w:hint="eastAsia" w:ascii="方正小标宋简体" w:hAnsi="宋体" w:eastAsia="方正小标宋简体" w:cs="宋体"/>
                <w:kern w:val="0"/>
                <w:sz w:val="32"/>
                <w:szCs w:val="32"/>
              </w:rPr>
              <w:t>年度</w:t>
            </w:r>
            <w:r>
              <w:rPr>
                <w:rFonts w:hint="eastAsia" w:ascii="方正小标宋简体" w:hAnsi="宋体" w:eastAsia="方正小标宋简体" w:cs="宋体"/>
                <w:kern w:val="0"/>
                <w:sz w:val="32"/>
                <w:szCs w:val="32"/>
                <w:lang w:eastAsia="zh-CN"/>
              </w:rPr>
              <w:t>单位</w:t>
            </w:r>
            <w:r>
              <w:rPr>
                <w:rFonts w:hint="eastAsia" w:ascii="方正小标宋简体" w:hAnsi="宋体" w:eastAsia="方正小标宋简体" w:cs="宋体"/>
                <w:kern w:val="0"/>
                <w:sz w:val="32"/>
                <w:szCs w:val="32"/>
              </w:rPr>
              <w:t>专项资金管理清单目录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149"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354"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056"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134"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134"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134"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134"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040"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200"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200" w:type="dxa"/>
            <w:tcBorders>
              <w:top w:val="nil"/>
              <w:left w:val="nil"/>
              <w:bottom w:val="nil"/>
              <w:right w:val="nil"/>
            </w:tcBorders>
            <w:vAlign w:val="bottom"/>
          </w:tcPr>
          <w:p>
            <w:pPr>
              <w:widowControl/>
              <w:spacing w:line="240" w:lineRule="auto"/>
              <w:jc w:val="left"/>
              <w:rPr>
                <w:rFonts w:ascii="宋体" w:hAnsi="宋体" w:eastAsia="宋体" w:cs="宋体"/>
                <w:kern w:val="0"/>
                <w:sz w:val="24"/>
                <w:szCs w:val="24"/>
              </w:rPr>
            </w:pPr>
          </w:p>
        </w:tc>
        <w:tc>
          <w:tcPr>
            <w:tcW w:w="1188" w:type="dxa"/>
            <w:tcBorders>
              <w:top w:val="nil"/>
              <w:left w:val="nil"/>
              <w:bottom w:val="nil"/>
              <w:right w:val="nil"/>
            </w:tcBorders>
            <w:vAlign w:val="top"/>
          </w:tcPr>
          <w:p>
            <w:pPr>
              <w:widowControl/>
              <w:spacing w:line="240" w:lineRule="auto"/>
              <w:jc w:val="right"/>
              <w:rPr>
                <w:rFonts w:ascii="宋体" w:hAnsi="宋体" w:eastAsia="宋体" w:cs="宋体"/>
                <w:kern w:val="0"/>
                <w:sz w:val="22"/>
              </w:rPr>
            </w:pPr>
          </w:p>
        </w:tc>
        <w:tc>
          <w:tcPr>
            <w:tcW w:w="1275" w:type="dxa"/>
            <w:tcBorders>
              <w:top w:val="nil"/>
              <w:left w:val="nil"/>
              <w:bottom w:val="nil"/>
              <w:right w:val="nil"/>
            </w:tcBorders>
            <w:vAlign w:val="bottom"/>
          </w:tcPr>
          <w:p>
            <w:pPr>
              <w:widowControl/>
              <w:spacing w:line="240" w:lineRule="auto"/>
              <w:jc w:val="right"/>
              <w:rPr>
                <w:rFonts w:ascii="宋体" w:hAnsi="宋体" w:eastAsia="宋体" w:cs="宋体"/>
                <w:kern w:val="0"/>
                <w:sz w:val="22"/>
              </w:rPr>
            </w:pPr>
            <w:r>
              <w:rPr>
                <w:rFonts w:hint="eastAsia" w:ascii="宋体" w:hAnsi="宋体" w:eastAsia="宋体" w:cs="宋体"/>
                <w:kern w:val="0"/>
                <w:sz w:val="22"/>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1" w:hRule="atLeast"/>
        </w:trPr>
        <w:tc>
          <w:tcPr>
            <w:tcW w:w="1149"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主管</w:t>
            </w:r>
            <w:r>
              <w:rPr>
                <w:rFonts w:hint="eastAsia" w:ascii="黑体" w:hAnsi="黑体" w:eastAsia="黑体" w:cs="宋体"/>
                <w:bCs/>
                <w:color w:val="000000"/>
                <w:kern w:val="0"/>
                <w:sz w:val="22"/>
                <w:lang w:eastAsia="zh-CN"/>
              </w:rPr>
              <w:t>部门</w:t>
            </w:r>
            <w:r>
              <w:rPr>
                <w:rFonts w:hint="eastAsia" w:ascii="黑体" w:hAnsi="黑体" w:eastAsia="黑体" w:cs="宋体"/>
                <w:bCs/>
                <w:color w:val="000000"/>
                <w:kern w:val="0"/>
                <w:sz w:val="22"/>
              </w:rPr>
              <w:t>名称</w:t>
            </w:r>
          </w:p>
        </w:tc>
        <w:tc>
          <w:tcPr>
            <w:tcW w:w="1354"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专项资金立项项目名称</w:t>
            </w:r>
          </w:p>
        </w:tc>
        <w:tc>
          <w:tcPr>
            <w:tcW w:w="1056"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立项依据</w:t>
            </w:r>
          </w:p>
        </w:tc>
        <w:tc>
          <w:tcPr>
            <w:tcW w:w="1134"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执行年限</w:t>
            </w:r>
          </w:p>
        </w:tc>
        <w:tc>
          <w:tcPr>
            <w:tcW w:w="1134"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实施规划</w:t>
            </w:r>
          </w:p>
        </w:tc>
        <w:tc>
          <w:tcPr>
            <w:tcW w:w="1134"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总体绩效目标</w:t>
            </w:r>
          </w:p>
        </w:tc>
        <w:tc>
          <w:tcPr>
            <w:tcW w:w="1134"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支出级次</w:t>
            </w:r>
          </w:p>
        </w:tc>
        <w:tc>
          <w:tcPr>
            <w:tcW w:w="4628" w:type="dxa"/>
            <w:gridSpan w:val="4"/>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资金拼盘</w:t>
            </w:r>
          </w:p>
        </w:tc>
        <w:tc>
          <w:tcPr>
            <w:tcW w:w="1275"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资金分配办法及支出标准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5" w:hRule="atLeast"/>
        </w:trPr>
        <w:tc>
          <w:tcPr>
            <w:tcW w:w="1149"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c>
          <w:tcPr>
            <w:tcW w:w="135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c>
          <w:tcPr>
            <w:tcW w:w="1056"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c>
          <w:tcPr>
            <w:tcW w:w="113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c>
          <w:tcPr>
            <w:tcW w:w="113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c>
          <w:tcPr>
            <w:tcW w:w="113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c>
          <w:tcPr>
            <w:tcW w:w="1134"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c>
          <w:tcPr>
            <w:tcW w:w="1040"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小计</w:t>
            </w:r>
          </w:p>
        </w:tc>
        <w:tc>
          <w:tcPr>
            <w:tcW w:w="1200" w:type="dxa"/>
            <w:tcBorders>
              <w:top w:val="nil"/>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一般公共预算</w:t>
            </w:r>
          </w:p>
        </w:tc>
        <w:tc>
          <w:tcPr>
            <w:tcW w:w="1200"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黑体" w:hAnsi="黑体" w:eastAsia="黑体" w:cs="宋体"/>
                <w:bCs/>
                <w:color w:val="000000"/>
                <w:kern w:val="0"/>
                <w:sz w:val="22"/>
              </w:rPr>
            </w:pPr>
            <w:r>
              <w:rPr>
                <w:rFonts w:hint="eastAsia" w:ascii="黑体" w:hAnsi="黑体" w:eastAsia="黑体" w:cs="宋体"/>
                <w:bCs/>
                <w:color w:val="000000"/>
                <w:kern w:val="0"/>
                <w:sz w:val="22"/>
              </w:rPr>
              <w:t>政府性基金预算</w:t>
            </w:r>
          </w:p>
        </w:tc>
        <w:tc>
          <w:tcPr>
            <w:tcW w:w="1188" w:type="dxa"/>
            <w:tcBorders>
              <w:top w:val="single" w:color="auto" w:sz="4" w:space="0"/>
              <w:left w:val="single" w:color="auto" w:sz="4" w:space="0"/>
              <w:bottom w:val="single" w:color="auto" w:sz="4" w:space="0"/>
              <w:right w:val="single" w:color="auto" w:sz="4" w:space="0"/>
            </w:tcBorders>
            <w:vAlign w:val="top"/>
          </w:tcPr>
          <w:p>
            <w:pPr>
              <w:widowControl/>
              <w:spacing w:line="240" w:lineRule="auto"/>
              <w:jc w:val="left"/>
              <w:rPr>
                <w:rFonts w:ascii="黑体" w:hAnsi="黑体" w:eastAsia="黑体" w:cs="宋体"/>
                <w:bCs/>
                <w:color w:val="000000"/>
                <w:kern w:val="0"/>
                <w:sz w:val="22"/>
              </w:rPr>
            </w:pPr>
            <w:r>
              <w:rPr>
                <w:rFonts w:hint="eastAsia" w:ascii="黑体" w:hAnsi="黑体" w:eastAsia="黑体" w:cs="宋体"/>
                <w:bCs/>
                <w:color w:val="000000"/>
                <w:kern w:val="0"/>
                <w:sz w:val="22"/>
              </w:rPr>
              <w:t>国有资本经营预算</w:t>
            </w: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b/>
                <w:bCs/>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35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056"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040"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200"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200" w:type="dxa"/>
            <w:tcBorders>
              <w:top w:val="single" w:color="auto" w:sz="4" w:space="0"/>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88" w:type="dxa"/>
            <w:tcBorders>
              <w:top w:val="single" w:color="auto" w:sz="4" w:space="0"/>
              <w:left w:val="single" w:color="auto" w:sz="4" w:space="0"/>
              <w:bottom w:val="single" w:color="auto" w:sz="4" w:space="0"/>
              <w:right w:val="single" w:color="auto" w:sz="4" w:space="0"/>
            </w:tcBorders>
            <w:vAlign w:val="top"/>
          </w:tcPr>
          <w:p>
            <w:pPr>
              <w:widowControl/>
              <w:spacing w:line="240" w:lineRule="auto"/>
              <w:jc w:val="left"/>
              <w:rPr>
                <w:rFonts w:ascii="宋体" w:hAnsi="宋体" w:eastAsia="宋体" w:cs="宋体"/>
                <w:kern w:val="0"/>
                <w:sz w:val="24"/>
                <w:szCs w:val="24"/>
              </w:rPr>
            </w:pPr>
          </w:p>
        </w:tc>
        <w:tc>
          <w:tcPr>
            <w:tcW w:w="1275" w:type="dxa"/>
            <w:tcBorders>
              <w:top w:val="single" w:color="auto" w:sz="4" w:space="0"/>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1149" w:type="dxa"/>
            <w:tcBorders>
              <w:top w:val="nil"/>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35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056"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040"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200" w:type="dxa"/>
            <w:tcBorders>
              <w:top w:val="nil"/>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200" w:type="dxa"/>
            <w:tcBorders>
              <w:top w:val="single" w:color="auto" w:sz="4" w:space="0"/>
              <w:left w:val="nil"/>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188" w:type="dxa"/>
            <w:tcBorders>
              <w:top w:val="single" w:color="auto" w:sz="4" w:space="0"/>
              <w:left w:val="single" w:color="auto" w:sz="4" w:space="0"/>
              <w:bottom w:val="single" w:color="auto" w:sz="4" w:space="0"/>
              <w:right w:val="single" w:color="auto" w:sz="4" w:space="0"/>
            </w:tcBorders>
            <w:vAlign w:val="top"/>
          </w:tcPr>
          <w:p>
            <w:pPr>
              <w:widowControl/>
              <w:spacing w:line="240" w:lineRule="auto"/>
              <w:jc w:val="left"/>
              <w:rPr>
                <w:rFonts w:ascii="宋体" w:hAnsi="宋体" w:eastAsia="宋体" w:cs="宋体"/>
                <w:kern w:val="0"/>
                <w:sz w:val="24"/>
                <w:szCs w:val="24"/>
              </w:rPr>
            </w:pPr>
          </w:p>
        </w:tc>
        <w:tc>
          <w:tcPr>
            <w:tcW w:w="1275" w:type="dxa"/>
            <w:tcBorders>
              <w:top w:val="single" w:color="auto" w:sz="4" w:space="0"/>
              <w:left w:val="single" w:color="auto" w:sz="4" w:space="0"/>
              <w:bottom w:val="single" w:color="auto" w:sz="4" w:space="0"/>
              <w:right w:val="single" w:color="auto" w:sz="4" w:space="0"/>
            </w:tcBorders>
            <w:vAlign w:val="bottom"/>
          </w:tcPr>
          <w:p>
            <w:pPr>
              <w:widowControl/>
              <w:spacing w:line="240" w:lineRule="auto"/>
              <w:jc w:val="left"/>
              <w:rPr>
                <w:rFonts w:ascii="宋体" w:hAnsi="宋体" w:eastAsia="宋体" w:cs="宋体"/>
                <w:kern w:val="0"/>
                <w:sz w:val="24"/>
                <w:szCs w:val="24"/>
              </w:rPr>
            </w:pPr>
            <w:r>
              <w:rPr>
                <w:rFonts w:hint="eastAsia" w:ascii="宋体" w:hAnsi="宋体" w:eastAsia="宋体" w:cs="宋体"/>
                <w:kern w:val="0"/>
                <w:sz w:val="24"/>
                <w:szCs w:val="24"/>
              </w:rPr>
              <w:t>　</w:t>
            </w:r>
          </w:p>
        </w:tc>
      </w:tr>
    </w:tbl>
    <w:p>
      <w:pPr>
        <w:tabs>
          <w:tab w:val="left" w:pos="480"/>
        </w:tabs>
        <w:spacing w:line="240" w:lineRule="auto"/>
        <w:rPr>
          <w:rFonts w:hint="eastAsia" w:ascii="楷体" w:hAnsi="楷体" w:eastAsia="楷体"/>
          <w:b/>
          <w:bCs/>
          <w:color w:val="0000FF"/>
        </w:rPr>
      </w:pPr>
      <w:r>
        <w:rPr>
          <w:rFonts w:hint="eastAsia" w:ascii="楷体" w:hAnsi="楷体" w:eastAsia="楷体"/>
          <w:b/>
          <w:bCs/>
          <w:color w:val="0000FF"/>
        </w:rPr>
        <w:t>编报说明（制作文本时请删除“编报说明”内容）：</w:t>
      </w:r>
    </w:p>
    <w:p>
      <w:pPr>
        <w:tabs>
          <w:tab w:val="left" w:pos="480"/>
        </w:tabs>
        <w:spacing w:line="240" w:lineRule="auto"/>
        <w:ind w:firstLine="422" w:firstLineChars="200"/>
        <w:rPr>
          <w:rFonts w:hint="eastAsia" w:ascii="楷体" w:hAnsi="楷体" w:eastAsia="楷体"/>
          <w:b/>
          <w:bCs/>
          <w:color w:val="0000FF"/>
        </w:rPr>
      </w:pPr>
      <w:r>
        <w:rPr>
          <w:rFonts w:hint="eastAsia" w:ascii="楷体" w:hAnsi="楷体" w:eastAsia="楷体"/>
          <w:b/>
          <w:bCs/>
          <w:color w:val="0000FF"/>
        </w:rPr>
        <w:t>1.立项依据：指专项资金设立所依据的法律、法规、规章或者政府的规范性文件。按照“《标题》+（文号）：主要依据内容”的格式填报。有多个设立依据的，应按设立依据的级次，从高到低填列。</w:t>
      </w:r>
    </w:p>
    <w:p>
      <w:pPr>
        <w:tabs>
          <w:tab w:val="left" w:pos="480"/>
        </w:tabs>
        <w:spacing w:line="240" w:lineRule="auto"/>
        <w:ind w:firstLine="422" w:firstLineChars="200"/>
        <w:rPr>
          <w:rFonts w:hint="eastAsia" w:ascii="楷体" w:hAnsi="楷体" w:eastAsia="楷体"/>
          <w:b/>
          <w:bCs/>
          <w:color w:val="0000FF"/>
        </w:rPr>
      </w:pPr>
      <w:r>
        <w:rPr>
          <w:rFonts w:hint="eastAsia" w:ascii="楷体" w:hAnsi="楷体" w:eastAsia="楷体"/>
          <w:b/>
          <w:bCs/>
          <w:color w:val="0000FF"/>
        </w:rPr>
        <w:t>2.执行年限：专项资金未确定执行期限的，统一设定期限为3年。</w:t>
      </w:r>
    </w:p>
    <w:p>
      <w:pPr>
        <w:tabs>
          <w:tab w:val="left" w:pos="480"/>
        </w:tabs>
        <w:spacing w:line="240" w:lineRule="auto"/>
        <w:ind w:firstLine="422" w:firstLineChars="200"/>
        <w:rPr>
          <w:rFonts w:hint="eastAsia" w:ascii="楷体" w:hAnsi="楷体" w:eastAsia="楷体"/>
          <w:b/>
          <w:bCs/>
          <w:color w:val="0000FF"/>
        </w:rPr>
      </w:pPr>
      <w:r>
        <w:rPr>
          <w:rFonts w:hint="eastAsia" w:ascii="楷体" w:hAnsi="楷体" w:eastAsia="楷体"/>
          <w:b/>
          <w:bCs/>
          <w:color w:val="0000FF"/>
        </w:rPr>
        <w:t>3.总体绩效目标：描述专项资金在实施过程中（包括实施期、当年度）计划达到的产出和效果，主要采用定性描述。</w:t>
      </w:r>
    </w:p>
    <w:p>
      <w:pPr>
        <w:tabs>
          <w:tab w:val="left" w:pos="480"/>
        </w:tabs>
        <w:spacing w:line="240" w:lineRule="auto"/>
        <w:ind w:firstLine="422" w:firstLineChars="200"/>
        <w:rPr>
          <w:rFonts w:hint="eastAsia" w:ascii="楷体" w:hAnsi="楷体" w:eastAsia="楷体"/>
          <w:b/>
          <w:bCs/>
          <w:color w:val="0000FF"/>
        </w:rPr>
      </w:pPr>
      <w:r>
        <w:rPr>
          <w:rFonts w:hint="eastAsia" w:ascii="楷体" w:hAnsi="楷体" w:eastAsia="楷体"/>
          <w:b/>
          <w:bCs/>
          <w:color w:val="0000FF"/>
        </w:rPr>
        <w:t>4.实施规划：描述专项资金的主要内容和分阶段实施计划等内容。</w:t>
      </w:r>
    </w:p>
    <w:p>
      <w:pPr>
        <w:tabs>
          <w:tab w:val="left" w:pos="480"/>
        </w:tabs>
        <w:spacing w:line="240" w:lineRule="auto"/>
        <w:ind w:firstLine="422" w:firstLineChars="200"/>
        <w:rPr>
          <w:rFonts w:hint="eastAsia" w:ascii="楷体" w:hAnsi="楷体" w:eastAsia="楷体"/>
          <w:b/>
          <w:bCs/>
          <w:color w:val="0000FF"/>
        </w:rPr>
      </w:pPr>
      <w:r>
        <w:rPr>
          <w:rFonts w:hint="eastAsia" w:ascii="楷体" w:hAnsi="楷体" w:eastAsia="楷体"/>
          <w:b/>
          <w:bCs/>
          <w:color w:val="0000FF"/>
        </w:rPr>
        <w:t>5.支出级次：分为“</w:t>
      </w:r>
      <w:r>
        <w:rPr>
          <w:rFonts w:hint="eastAsia" w:ascii="楷体" w:hAnsi="楷体" w:eastAsia="楷体"/>
          <w:b/>
          <w:bCs/>
          <w:color w:val="0000FF"/>
          <w:lang w:eastAsia="zh-CN"/>
        </w:rPr>
        <w:t>市</w:t>
      </w:r>
      <w:r>
        <w:rPr>
          <w:rFonts w:hint="eastAsia" w:ascii="楷体" w:hAnsi="楷体" w:eastAsia="楷体"/>
          <w:b/>
          <w:bCs/>
          <w:color w:val="0000FF"/>
        </w:rPr>
        <w:t>本级支出”和“对</w:t>
      </w:r>
      <w:r>
        <w:rPr>
          <w:rFonts w:hint="eastAsia" w:ascii="楷体" w:hAnsi="楷体" w:eastAsia="楷体"/>
          <w:b/>
          <w:bCs/>
          <w:color w:val="0000FF"/>
          <w:lang w:eastAsia="zh-CN"/>
        </w:rPr>
        <w:t>县区</w:t>
      </w:r>
      <w:r>
        <w:rPr>
          <w:rFonts w:hint="eastAsia" w:ascii="楷体" w:hAnsi="楷体" w:eastAsia="楷体"/>
          <w:b/>
          <w:bCs/>
          <w:color w:val="0000FF"/>
        </w:rPr>
        <w:t>的转移支付支出”。同一专项资金项目包含多种分类的，需区别标识，例：</w:t>
      </w:r>
      <w:r>
        <w:rPr>
          <w:rFonts w:hint="eastAsia" w:ascii="楷体" w:hAnsi="楷体" w:eastAsia="楷体"/>
          <w:b/>
          <w:bCs/>
          <w:color w:val="0000FF"/>
          <w:lang w:eastAsia="zh-CN"/>
        </w:rPr>
        <w:t>市</w:t>
      </w:r>
      <w:r>
        <w:rPr>
          <w:rFonts w:hint="eastAsia" w:ascii="楷体" w:hAnsi="楷体" w:eastAsia="楷体"/>
          <w:b/>
          <w:bCs/>
          <w:color w:val="0000FF"/>
        </w:rPr>
        <w:t>本级支出xxx万元、对</w:t>
      </w:r>
      <w:r>
        <w:rPr>
          <w:rFonts w:hint="eastAsia" w:ascii="楷体" w:hAnsi="楷体" w:eastAsia="楷体"/>
          <w:b/>
          <w:bCs/>
          <w:color w:val="0000FF"/>
          <w:lang w:eastAsia="zh-CN"/>
        </w:rPr>
        <w:t>县区</w:t>
      </w:r>
      <w:r>
        <w:rPr>
          <w:rFonts w:hint="eastAsia" w:ascii="楷体" w:hAnsi="楷体" w:eastAsia="楷体"/>
          <w:b/>
          <w:bCs/>
          <w:color w:val="0000FF"/>
        </w:rPr>
        <w:t>转移支付支出xxx万元。</w:t>
      </w:r>
    </w:p>
    <w:p>
      <w:pPr>
        <w:tabs>
          <w:tab w:val="left" w:pos="480"/>
        </w:tabs>
        <w:spacing w:line="240" w:lineRule="auto"/>
        <w:ind w:firstLine="422" w:firstLineChars="200"/>
        <w:rPr>
          <w:rFonts w:hint="eastAsia" w:ascii="楷体" w:hAnsi="楷体" w:eastAsia="楷体"/>
          <w:b/>
          <w:bCs/>
          <w:color w:val="0000FF"/>
        </w:rPr>
      </w:pPr>
      <w:r>
        <w:rPr>
          <w:rFonts w:hint="eastAsia" w:ascii="楷体" w:hAnsi="楷体" w:eastAsia="楷体"/>
          <w:b/>
          <w:bCs/>
          <w:color w:val="0000FF"/>
        </w:rPr>
        <w:t>6.资金分配办法及支出标准：按照专项资金使用管理办法的相关规定填报，其中：资金分配办法分为“因素法”、“项目法”、“因素法、项目法相结合”。实行因素法分配的专项资金要描述资金分配因素的量化指标、权重系数和分配公式；实行项目管理法的专项资金要描述具体申报条件、筛选原则和审批程序；</w:t>
      </w:r>
    </w:p>
    <w:p>
      <w:pPr>
        <w:tabs>
          <w:tab w:val="left" w:pos="480"/>
        </w:tabs>
        <w:spacing w:line="240" w:lineRule="auto"/>
        <w:ind w:firstLine="422" w:firstLineChars="200"/>
        <w:rPr>
          <w:rFonts w:hint="eastAsia" w:ascii="楷体" w:hAnsi="楷体" w:eastAsia="楷体"/>
          <w:b/>
          <w:bCs/>
          <w:color w:val="0000FF"/>
        </w:rPr>
      </w:pPr>
      <w:r>
        <w:rPr>
          <w:rFonts w:hint="eastAsia" w:ascii="楷体" w:hAnsi="楷体" w:eastAsia="楷体"/>
          <w:b/>
          <w:bCs/>
          <w:color w:val="0000FF"/>
        </w:rPr>
        <w:t>7.没有管理</w:t>
      </w:r>
      <w:r>
        <w:rPr>
          <w:rFonts w:hint="eastAsia" w:ascii="楷体" w:hAnsi="楷体" w:eastAsia="楷体"/>
          <w:b/>
          <w:bCs/>
          <w:color w:val="0000FF"/>
          <w:lang w:eastAsia="zh-CN"/>
        </w:rPr>
        <w:t>市</w:t>
      </w:r>
      <w:r>
        <w:rPr>
          <w:rFonts w:hint="eastAsia" w:ascii="楷体" w:hAnsi="楷体" w:eastAsia="楷体"/>
          <w:b/>
          <w:bCs/>
          <w:color w:val="0000FF"/>
        </w:rPr>
        <w:t>级专项资金的</w:t>
      </w:r>
      <w:r>
        <w:rPr>
          <w:rFonts w:hint="eastAsia" w:ascii="楷体" w:hAnsi="楷体" w:eastAsia="楷体"/>
          <w:b/>
          <w:bCs/>
          <w:color w:val="0000FF"/>
          <w:lang w:eastAsia="zh-CN"/>
        </w:rPr>
        <w:t>单位</w:t>
      </w:r>
      <w:r>
        <w:rPr>
          <w:rFonts w:hint="eastAsia" w:ascii="楷体" w:hAnsi="楷体" w:eastAsia="楷体"/>
          <w:b/>
          <w:bCs/>
          <w:color w:val="0000FF"/>
        </w:rPr>
        <w:t>，</w:t>
      </w:r>
      <w:r>
        <w:rPr>
          <w:rFonts w:hint="eastAsia" w:ascii="楷体" w:hAnsi="楷体" w:eastAsia="楷体" w:cs="Times New Roman"/>
          <w:b/>
          <w:bCs/>
          <w:color w:val="0000FF"/>
          <w:kern w:val="0"/>
          <w:szCs w:val="21"/>
        </w:rPr>
        <w:t>可不公开本表</w:t>
      </w:r>
      <w:r>
        <w:rPr>
          <w:rFonts w:hint="eastAsia" w:ascii="楷体" w:hAnsi="楷体" w:eastAsia="楷体"/>
          <w:b/>
          <w:bCs/>
          <w:color w:val="0000FF"/>
        </w:rPr>
        <w:t>。</w:t>
      </w:r>
    </w:p>
    <w:p>
      <w:pPr>
        <w:tabs>
          <w:tab w:val="left" w:pos="480"/>
        </w:tabs>
        <w:spacing w:line="240" w:lineRule="auto"/>
        <w:ind w:firstLine="422" w:firstLineChars="200"/>
        <w:rPr>
          <w:rFonts w:hint="eastAsia" w:ascii="楷体" w:hAnsi="楷体" w:eastAsia="楷体"/>
          <w:b/>
          <w:bCs/>
          <w:color w:val="0000FF"/>
        </w:rPr>
        <w:sectPr>
          <w:pgSz w:w="16838" w:h="11906" w:orient="landscape"/>
          <w:pgMar w:top="1800" w:right="1440" w:bottom="1800" w:left="1440" w:header="851" w:footer="992" w:gutter="0"/>
          <w:cols w:space="720" w:num="1"/>
          <w:docGrid w:type="lines" w:linePitch="312" w:charSpace="0"/>
        </w:sectPr>
      </w:pPr>
      <w:r>
        <w:rPr>
          <w:rFonts w:hint="eastAsia" w:ascii="楷体" w:hAnsi="楷体" w:eastAsia="楷体"/>
          <w:b/>
          <w:bCs/>
          <w:color w:val="0000FF"/>
          <w:lang w:val="en-US" w:eastAsia="zh-CN"/>
        </w:rPr>
        <w:t>8</w:t>
      </w:r>
      <w:r>
        <w:rPr>
          <w:rFonts w:hint="eastAsia" w:ascii="楷体" w:hAnsi="楷体" w:eastAsia="楷体"/>
          <w:b/>
          <w:bCs/>
          <w:color w:val="0000FF"/>
        </w:rPr>
        <w:t>.</w:t>
      </w:r>
      <w:r>
        <w:rPr>
          <w:rFonts w:hint="eastAsia" w:ascii="楷体" w:hAnsi="楷体" w:eastAsia="楷体"/>
          <w:b/>
          <w:bCs/>
          <w:color w:val="0000FF"/>
          <w:lang w:eastAsia="zh-CN"/>
        </w:rPr>
        <w:t>本表系统导出数据为所有项目支出数据，部门和单位要注意甄别，仅保留项目类别为“</w:t>
      </w:r>
      <w:r>
        <w:rPr>
          <w:rFonts w:hint="eastAsia" w:ascii="楷体" w:hAnsi="楷体" w:eastAsia="楷体"/>
          <w:b/>
          <w:bCs/>
          <w:color w:val="0000FF"/>
          <w:lang w:val="en-US" w:eastAsia="zh-CN"/>
        </w:rPr>
        <w:t>311市级财政专项资金</w:t>
      </w:r>
      <w:r>
        <w:rPr>
          <w:rFonts w:hint="eastAsia" w:ascii="楷体" w:hAnsi="楷体" w:eastAsia="楷体"/>
          <w:b/>
          <w:bCs/>
          <w:color w:val="0000FF"/>
          <w:lang w:eastAsia="zh-CN"/>
        </w:rPr>
        <w:t>”的项目，其余项目均要删除</w:t>
      </w:r>
      <w:r>
        <w:rPr>
          <w:rFonts w:hint="eastAsia" w:ascii="楷体" w:hAnsi="楷体" w:eastAsia="楷体"/>
          <w:b/>
          <w:bCs/>
          <w:color w:val="0000FF"/>
        </w:rPr>
        <w:t>。</w:t>
      </w: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jc w:val="center"/>
        <w:rPr>
          <w:rFonts w:ascii="黑体" w:hAnsi="黑体" w:eastAsia="黑体"/>
          <w:sz w:val="36"/>
          <w:szCs w:val="36"/>
          <w:lang w:eastAsia="zh-CN"/>
        </w:rPr>
      </w:pPr>
    </w:p>
    <w:p>
      <w:pPr>
        <w:pStyle w:val="2"/>
        <w:rPr>
          <w:rFonts w:ascii="黑体" w:hAnsi="黑体" w:eastAsia="黑体"/>
          <w:sz w:val="56"/>
          <w:szCs w:val="36"/>
          <w:lang w:eastAsia="zh-CN"/>
        </w:rPr>
      </w:pPr>
      <w:r>
        <w:rPr>
          <w:rFonts w:hint="eastAsia" w:ascii="黑体" w:hAnsi="黑体" w:eastAsia="黑体"/>
          <w:sz w:val="56"/>
          <w:szCs w:val="36"/>
          <w:lang w:eastAsia="zh-CN"/>
        </w:rPr>
        <w:t>第三部分</w:t>
      </w:r>
      <w:r>
        <w:rPr>
          <w:rFonts w:ascii="黑体" w:hAnsi="黑体" w:eastAsia="黑体"/>
          <w:sz w:val="56"/>
          <w:szCs w:val="36"/>
          <w:lang w:eastAsia="zh-CN"/>
        </w:rPr>
        <w:t xml:space="preserve"> </w:t>
      </w:r>
    </w:p>
    <w:p>
      <w:pPr>
        <w:pStyle w:val="2"/>
        <w:jc w:val="center"/>
        <w:rPr>
          <w:rFonts w:ascii="黑体" w:hAnsi="黑体" w:eastAsia="黑体"/>
          <w:sz w:val="56"/>
          <w:szCs w:val="36"/>
          <w:lang w:eastAsia="zh-CN"/>
        </w:rPr>
      </w:pPr>
      <w:r>
        <w:rPr>
          <w:rFonts w:hint="eastAsia" w:ascii="黑体" w:hAnsi="黑体" w:eastAsia="黑体"/>
          <w:sz w:val="56"/>
          <w:szCs w:val="36"/>
          <w:lang w:val="en-US" w:eastAsia="zh-CN"/>
        </w:rPr>
        <w:t>2025</w:t>
      </w:r>
      <w:r>
        <w:rPr>
          <w:rFonts w:hint="eastAsia" w:ascii="黑体" w:hAnsi="黑体" w:eastAsia="黑体"/>
          <w:sz w:val="56"/>
          <w:szCs w:val="36"/>
          <w:lang w:eastAsia="zh-CN"/>
        </w:rPr>
        <w:t>年度单位预算情况说明</w:t>
      </w:r>
    </w:p>
    <w:p>
      <w:pPr>
        <w:ind w:firstLine="640" w:firstLineChars="200"/>
        <w:rPr>
          <w:rFonts w:ascii="仿宋" w:hAnsi="仿宋" w:eastAsia="仿宋" w:cs="仿宋_GB2312"/>
          <w:sz w:val="32"/>
          <w:szCs w:val="32"/>
        </w:rPr>
      </w:pPr>
    </w:p>
    <w:p>
      <w:pPr>
        <w:tabs>
          <w:tab w:val="left" w:pos="7513"/>
        </w:tabs>
        <w:adjustRightInd w:val="0"/>
        <w:snapToGrid w:val="0"/>
        <w:spacing w:line="600" w:lineRule="exact"/>
        <w:rPr>
          <w:rFonts w:ascii="仿宋" w:hAnsi="仿宋" w:eastAsia="仿宋"/>
          <w:b/>
          <w:sz w:val="32"/>
          <w:szCs w:val="32"/>
        </w:rPr>
        <w:sectPr>
          <w:pgSz w:w="11906" w:h="16838"/>
          <w:pgMar w:top="1440" w:right="1800" w:bottom="1440" w:left="1800" w:header="851" w:footer="992" w:gutter="0"/>
          <w:cols w:space="720" w:num="1"/>
          <w:docGrid w:type="lines" w:linePitch="312" w:charSpace="0"/>
        </w:sectPr>
      </w:pPr>
    </w:p>
    <w:p>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一、预算收支总体情况</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按照综合预算的原则，</w:t>
      </w:r>
      <w:r>
        <w:rPr>
          <w:rFonts w:hint="eastAsia" w:ascii="仿宋" w:hAnsi="仿宋" w:eastAsia="仿宋"/>
          <w:sz w:val="32"/>
          <w:szCs w:val="32"/>
          <w:lang w:eastAsia="zh-CN"/>
        </w:rPr>
        <w:t>单位</w:t>
      </w:r>
      <w:r>
        <w:rPr>
          <w:rFonts w:hint="eastAsia" w:ascii="仿宋" w:hAnsi="仿宋" w:eastAsia="仿宋"/>
          <w:sz w:val="32"/>
          <w:szCs w:val="32"/>
        </w:rPr>
        <w:t>所有收入和支出均纳入</w:t>
      </w:r>
      <w:r>
        <w:rPr>
          <w:rFonts w:hint="eastAsia" w:ascii="仿宋" w:hAnsi="仿宋" w:eastAsia="仿宋"/>
          <w:sz w:val="32"/>
          <w:szCs w:val="32"/>
          <w:lang w:eastAsia="zh-CN"/>
        </w:rPr>
        <w:t>单位</w:t>
      </w:r>
      <w:r>
        <w:rPr>
          <w:rFonts w:hint="eastAsia" w:ascii="仿宋" w:hAnsi="仿宋" w:eastAsia="仿宋"/>
          <w:sz w:val="32"/>
          <w:szCs w:val="32"/>
        </w:rPr>
        <w:t>预算管理。</w:t>
      </w:r>
      <w:r>
        <w:rPr>
          <w:rFonts w:hint="eastAsia" w:ascii="仿宋" w:hAnsi="仿宋" w:eastAsia="仿宋"/>
          <w:sz w:val="32"/>
          <w:szCs w:val="32"/>
          <w:lang w:val="en-US" w:eastAsia="zh-CN"/>
        </w:rPr>
        <w:t>2025</w:t>
      </w:r>
      <w:r>
        <w:rPr>
          <w:rFonts w:hint="eastAsia" w:ascii="仿宋" w:hAnsi="仿宋" w:eastAsia="仿宋"/>
          <w:sz w:val="32"/>
          <w:szCs w:val="32"/>
        </w:rPr>
        <w:t>年，</w:t>
      </w:r>
      <w:r>
        <w:rPr>
          <w:rFonts w:hint="eastAsia" w:ascii="仿宋" w:hAnsi="仿宋" w:eastAsia="仿宋" w:cs="仿宋_GB2312"/>
          <w:sz w:val="32"/>
          <w:szCs w:val="32"/>
        </w:rPr>
        <w:t>××</w:t>
      </w:r>
      <w:r>
        <w:rPr>
          <w:rFonts w:hint="eastAsia" w:ascii="仿宋" w:hAnsi="仿宋" w:eastAsia="仿宋"/>
          <w:sz w:val="32"/>
          <w:szCs w:val="32"/>
          <w:lang w:eastAsia="zh-CN"/>
        </w:rPr>
        <w:t>单位</w:t>
      </w:r>
      <w:r>
        <w:rPr>
          <w:rFonts w:hint="eastAsia" w:ascii="仿宋" w:hAnsi="仿宋" w:eastAsia="仿宋"/>
          <w:sz w:val="32"/>
          <w:szCs w:val="32"/>
        </w:rPr>
        <w:t>收入预算为</w:t>
      </w:r>
      <w:r>
        <w:rPr>
          <w:rFonts w:hint="eastAsia" w:ascii="仿宋" w:hAnsi="仿宋" w:eastAsia="仿宋" w:cs="仿宋_GB2312"/>
          <w:sz w:val="32"/>
          <w:szCs w:val="32"/>
        </w:rPr>
        <w:t>××</w:t>
      </w:r>
      <w:r>
        <w:rPr>
          <w:rFonts w:hint="eastAsia" w:ascii="仿宋" w:hAnsi="仿宋" w:eastAsia="仿宋"/>
          <w:sz w:val="32"/>
          <w:szCs w:val="32"/>
        </w:rPr>
        <w:t>万元，比上年增加（减少）</w:t>
      </w:r>
      <w:r>
        <w:rPr>
          <w:rFonts w:hint="eastAsia" w:ascii="仿宋" w:hAnsi="仿宋" w:eastAsia="仿宋" w:cs="仿宋_GB2312"/>
          <w:sz w:val="32"/>
          <w:szCs w:val="32"/>
        </w:rPr>
        <w:t>××</w:t>
      </w:r>
      <w:r>
        <w:rPr>
          <w:rFonts w:hint="eastAsia" w:ascii="仿宋" w:hAnsi="仿宋" w:eastAsia="仿宋"/>
          <w:sz w:val="32"/>
          <w:szCs w:val="32"/>
        </w:rPr>
        <w:t>万元，主要原因是</w:t>
      </w:r>
      <w:r>
        <w:rPr>
          <w:rFonts w:hint="eastAsia" w:ascii="仿宋" w:hAnsi="仿宋" w:eastAsia="仿宋" w:cs="仿宋_GB2312"/>
          <w:sz w:val="32"/>
          <w:szCs w:val="32"/>
        </w:rPr>
        <w:t>××××××××××××。</w:t>
      </w:r>
      <w:r>
        <w:rPr>
          <w:rFonts w:hint="eastAsia" w:ascii="仿宋" w:hAnsi="仿宋" w:eastAsia="仿宋"/>
          <w:sz w:val="32"/>
          <w:szCs w:val="32"/>
        </w:rPr>
        <w:t>其中：一般公共预算拨款收入</w:t>
      </w:r>
      <w:r>
        <w:rPr>
          <w:rFonts w:hint="eastAsia" w:ascii="仿宋" w:hAnsi="仿宋" w:eastAsia="仿宋" w:cs="仿宋_GB2312"/>
          <w:sz w:val="32"/>
          <w:szCs w:val="32"/>
        </w:rPr>
        <w:t>××</w:t>
      </w:r>
      <w:r>
        <w:rPr>
          <w:rFonts w:hint="eastAsia" w:ascii="仿宋" w:hAnsi="仿宋" w:eastAsia="仿宋"/>
          <w:sz w:val="32"/>
          <w:szCs w:val="32"/>
        </w:rPr>
        <w:t>万元、政府性基金预算拨款收入</w:t>
      </w:r>
      <w:r>
        <w:rPr>
          <w:rFonts w:hint="eastAsia" w:ascii="仿宋" w:hAnsi="仿宋" w:eastAsia="仿宋" w:cs="仿宋_GB2312"/>
          <w:sz w:val="32"/>
          <w:szCs w:val="32"/>
        </w:rPr>
        <w:t>××</w:t>
      </w:r>
      <w:r>
        <w:rPr>
          <w:rFonts w:hint="eastAsia" w:ascii="仿宋" w:hAnsi="仿宋" w:eastAsia="仿宋"/>
          <w:sz w:val="32"/>
          <w:szCs w:val="32"/>
        </w:rPr>
        <w:t>万元、国有资本经营预算拨款收入</w:t>
      </w:r>
      <w:r>
        <w:rPr>
          <w:rFonts w:hint="eastAsia" w:ascii="仿宋" w:hAnsi="仿宋" w:eastAsia="仿宋" w:cs="仿宋_GB2312"/>
          <w:sz w:val="32"/>
          <w:szCs w:val="32"/>
        </w:rPr>
        <w:t>××</w:t>
      </w:r>
      <w:r>
        <w:rPr>
          <w:rFonts w:hint="eastAsia" w:ascii="仿宋" w:hAnsi="仿宋" w:eastAsia="仿宋"/>
          <w:sz w:val="32"/>
          <w:szCs w:val="32"/>
        </w:rPr>
        <w:t>万元、财政专户管理资金收入</w:t>
      </w:r>
      <w:r>
        <w:rPr>
          <w:rFonts w:hint="eastAsia" w:ascii="仿宋" w:hAnsi="仿宋" w:eastAsia="仿宋" w:cs="仿宋_GB2312"/>
          <w:sz w:val="32"/>
          <w:szCs w:val="32"/>
        </w:rPr>
        <w:t>××</w:t>
      </w:r>
      <w:r>
        <w:rPr>
          <w:rFonts w:hint="eastAsia" w:ascii="仿宋" w:hAnsi="仿宋" w:eastAsia="仿宋"/>
          <w:sz w:val="32"/>
          <w:szCs w:val="32"/>
        </w:rPr>
        <w:t>万元、事业收入</w:t>
      </w:r>
      <w:r>
        <w:rPr>
          <w:rFonts w:hint="eastAsia" w:ascii="仿宋" w:hAnsi="仿宋" w:eastAsia="仿宋" w:cs="仿宋_GB2312"/>
          <w:sz w:val="32"/>
          <w:szCs w:val="32"/>
        </w:rPr>
        <w:t>××</w:t>
      </w:r>
      <w:r>
        <w:rPr>
          <w:rFonts w:hint="eastAsia" w:ascii="仿宋" w:hAnsi="仿宋" w:eastAsia="仿宋"/>
          <w:sz w:val="32"/>
          <w:szCs w:val="32"/>
        </w:rPr>
        <w:t>万元、事业单位经营收入</w:t>
      </w:r>
      <w:r>
        <w:rPr>
          <w:rFonts w:hint="eastAsia" w:ascii="仿宋" w:hAnsi="仿宋" w:eastAsia="仿宋" w:cs="仿宋_GB2312"/>
          <w:sz w:val="32"/>
          <w:szCs w:val="32"/>
        </w:rPr>
        <w:t>××</w:t>
      </w:r>
      <w:r>
        <w:rPr>
          <w:rFonts w:hint="eastAsia" w:ascii="仿宋" w:hAnsi="仿宋" w:eastAsia="仿宋"/>
          <w:sz w:val="32"/>
          <w:szCs w:val="32"/>
        </w:rPr>
        <w:t>万元、上级补助收入</w:t>
      </w:r>
      <w:r>
        <w:rPr>
          <w:rFonts w:hint="eastAsia" w:ascii="仿宋" w:hAnsi="仿宋" w:eastAsia="仿宋" w:cs="仿宋_GB2312"/>
          <w:sz w:val="32"/>
          <w:szCs w:val="32"/>
        </w:rPr>
        <w:t>××</w:t>
      </w:r>
      <w:r>
        <w:rPr>
          <w:rFonts w:hint="eastAsia" w:ascii="仿宋" w:hAnsi="仿宋" w:eastAsia="仿宋"/>
          <w:sz w:val="32"/>
          <w:szCs w:val="32"/>
        </w:rPr>
        <w:t>万元、附属单位上缴收入</w:t>
      </w:r>
      <w:r>
        <w:rPr>
          <w:rFonts w:hint="eastAsia" w:ascii="仿宋" w:hAnsi="仿宋" w:eastAsia="仿宋" w:cs="仿宋_GB2312"/>
          <w:sz w:val="32"/>
          <w:szCs w:val="32"/>
        </w:rPr>
        <w:t>××</w:t>
      </w:r>
      <w:r>
        <w:rPr>
          <w:rFonts w:hint="eastAsia" w:ascii="仿宋" w:hAnsi="仿宋" w:eastAsia="仿宋"/>
          <w:sz w:val="32"/>
          <w:szCs w:val="32"/>
        </w:rPr>
        <w:t>万元、其他收入</w:t>
      </w:r>
      <w:r>
        <w:rPr>
          <w:rFonts w:hint="eastAsia" w:ascii="仿宋" w:hAnsi="仿宋" w:eastAsia="仿宋" w:cs="仿宋_GB2312"/>
          <w:sz w:val="32"/>
          <w:szCs w:val="32"/>
        </w:rPr>
        <w:t>××</w:t>
      </w:r>
      <w:r>
        <w:rPr>
          <w:rFonts w:hint="eastAsia" w:ascii="仿宋" w:hAnsi="仿宋" w:eastAsia="仿宋"/>
          <w:sz w:val="32"/>
          <w:szCs w:val="32"/>
        </w:rPr>
        <w:t>万元、上年结转结余</w:t>
      </w:r>
      <w:r>
        <w:rPr>
          <w:rFonts w:hint="eastAsia" w:ascii="仿宋" w:hAnsi="仿宋" w:eastAsia="仿宋" w:cs="仿宋_GB2312"/>
          <w:sz w:val="32"/>
          <w:szCs w:val="32"/>
        </w:rPr>
        <w:t>××</w:t>
      </w:r>
      <w:r>
        <w:rPr>
          <w:rFonts w:hint="eastAsia" w:ascii="仿宋" w:hAnsi="仿宋" w:eastAsia="仿宋"/>
          <w:sz w:val="32"/>
          <w:szCs w:val="32"/>
        </w:rPr>
        <w:t>万元。</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相应安排支出预算</w:t>
      </w:r>
      <w:r>
        <w:rPr>
          <w:rFonts w:hint="eastAsia" w:ascii="仿宋" w:hAnsi="仿宋" w:eastAsia="仿宋" w:cs="仿宋_GB2312"/>
          <w:sz w:val="32"/>
          <w:szCs w:val="32"/>
        </w:rPr>
        <w:t>××</w:t>
      </w:r>
      <w:r>
        <w:rPr>
          <w:rFonts w:hint="eastAsia" w:ascii="仿宋" w:hAnsi="仿宋" w:eastAsia="仿宋"/>
          <w:sz w:val="32"/>
          <w:szCs w:val="32"/>
        </w:rPr>
        <w:t>万元，比上年增加（减少）</w:t>
      </w:r>
      <w:r>
        <w:rPr>
          <w:rFonts w:hint="eastAsia" w:ascii="仿宋" w:hAnsi="仿宋" w:eastAsia="仿宋" w:cs="仿宋_GB2312"/>
          <w:sz w:val="32"/>
          <w:szCs w:val="32"/>
        </w:rPr>
        <w:t>××</w:t>
      </w:r>
      <w:r>
        <w:rPr>
          <w:rFonts w:hint="eastAsia" w:ascii="仿宋" w:hAnsi="仿宋" w:eastAsia="仿宋"/>
          <w:sz w:val="32"/>
          <w:szCs w:val="32"/>
        </w:rPr>
        <w:t>万元，主要原因是</w:t>
      </w:r>
      <w:r>
        <w:rPr>
          <w:rFonts w:hint="eastAsia" w:ascii="仿宋" w:hAnsi="仿宋" w:eastAsia="仿宋" w:cs="仿宋_GB2312"/>
          <w:sz w:val="32"/>
          <w:szCs w:val="32"/>
        </w:rPr>
        <w:t>××××××××××××。</w:t>
      </w:r>
      <w:r>
        <w:rPr>
          <w:rFonts w:hint="eastAsia" w:ascii="仿宋" w:hAnsi="仿宋" w:eastAsia="仿宋"/>
          <w:sz w:val="32"/>
          <w:szCs w:val="32"/>
        </w:rPr>
        <w:t>其中：基本支出</w:t>
      </w:r>
      <w:r>
        <w:rPr>
          <w:rFonts w:hint="eastAsia" w:ascii="仿宋" w:hAnsi="仿宋" w:eastAsia="仿宋" w:cs="仿宋_GB2312"/>
          <w:sz w:val="32"/>
          <w:szCs w:val="32"/>
        </w:rPr>
        <w:t>××</w:t>
      </w:r>
      <w:r>
        <w:rPr>
          <w:rFonts w:hint="eastAsia" w:ascii="仿宋" w:hAnsi="仿宋" w:eastAsia="仿宋"/>
          <w:sz w:val="32"/>
          <w:szCs w:val="32"/>
        </w:rPr>
        <w:t>万元、项目支出</w:t>
      </w:r>
      <w:r>
        <w:rPr>
          <w:rFonts w:hint="eastAsia" w:ascii="仿宋" w:hAnsi="仿宋" w:eastAsia="仿宋" w:cs="仿宋_GB2312"/>
          <w:sz w:val="32"/>
          <w:szCs w:val="32"/>
        </w:rPr>
        <w:t>××</w:t>
      </w:r>
      <w:r>
        <w:rPr>
          <w:rFonts w:hint="eastAsia" w:ascii="仿宋" w:hAnsi="仿宋" w:eastAsia="仿宋"/>
          <w:sz w:val="32"/>
          <w:szCs w:val="32"/>
        </w:rPr>
        <w:t>万元、事业单位经营支出</w:t>
      </w:r>
      <w:r>
        <w:rPr>
          <w:rFonts w:hint="eastAsia" w:ascii="仿宋" w:hAnsi="仿宋" w:eastAsia="仿宋" w:cs="仿宋_GB2312"/>
          <w:sz w:val="32"/>
          <w:szCs w:val="32"/>
        </w:rPr>
        <w:t>××</w:t>
      </w:r>
      <w:r>
        <w:rPr>
          <w:rFonts w:hint="eastAsia" w:ascii="仿宋" w:hAnsi="仿宋" w:eastAsia="仿宋"/>
          <w:sz w:val="32"/>
          <w:szCs w:val="32"/>
        </w:rPr>
        <w:t>万元、上缴上级支出</w:t>
      </w:r>
      <w:r>
        <w:rPr>
          <w:rFonts w:hint="eastAsia" w:ascii="仿宋" w:hAnsi="仿宋" w:eastAsia="仿宋" w:cs="仿宋_GB2312"/>
          <w:sz w:val="32"/>
          <w:szCs w:val="32"/>
        </w:rPr>
        <w:t>××</w:t>
      </w:r>
      <w:r>
        <w:rPr>
          <w:rFonts w:hint="eastAsia" w:ascii="仿宋" w:hAnsi="仿宋" w:eastAsia="仿宋"/>
          <w:sz w:val="32"/>
          <w:szCs w:val="32"/>
        </w:rPr>
        <w:t>万元、对附属单位补助支出</w:t>
      </w:r>
      <w:r>
        <w:rPr>
          <w:rFonts w:hint="eastAsia" w:ascii="仿宋" w:hAnsi="仿宋" w:eastAsia="仿宋" w:cs="仿宋_GB2312"/>
          <w:sz w:val="32"/>
          <w:szCs w:val="32"/>
        </w:rPr>
        <w:t>××</w:t>
      </w:r>
      <w:r>
        <w:rPr>
          <w:rFonts w:hint="eastAsia" w:ascii="仿宋" w:hAnsi="仿宋" w:eastAsia="仿宋"/>
          <w:sz w:val="32"/>
          <w:szCs w:val="32"/>
        </w:rPr>
        <w:t>万元。</w:t>
      </w:r>
    </w:p>
    <w:p>
      <w:pPr>
        <w:tabs>
          <w:tab w:val="left" w:pos="7513"/>
        </w:tabs>
        <w:adjustRightInd w:val="0"/>
        <w:snapToGrid w:val="0"/>
        <w:spacing w:line="600" w:lineRule="exact"/>
        <w:ind w:firstLine="643" w:firstLineChars="200"/>
        <w:rPr>
          <w:rFonts w:hint="eastAsia" w:ascii="楷体" w:hAnsi="楷体" w:eastAsia="楷体" w:cs="仿宋_GB2312"/>
          <w:b/>
          <w:bCs/>
          <w:color w:val="0000FF"/>
          <w:sz w:val="32"/>
          <w:szCs w:val="32"/>
        </w:rPr>
      </w:pPr>
      <w:r>
        <w:rPr>
          <w:rFonts w:hint="eastAsia" w:ascii="楷体" w:hAnsi="楷体" w:eastAsia="楷体" w:cs="仿宋_GB2312"/>
          <w:b/>
          <w:bCs/>
          <w:color w:val="0000FF"/>
          <w:sz w:val="32"/>
          <w:szCs w:val="32"/>
        </w:rPr>
        <w:t>（注：上述收入预算和支出预算明细中没有金额的项目可以删除。）</w:t>
      </w:r>
    </w:p>
    <w:p>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二、一般公共预算拨款支出情况</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宋体"/>
          <w:bCs/>
          <w:sz w:val="32"/>
          <w:szCs w:val="32"/>
          <w:lang w:val="en-US" w:eastAsia="zh-CN"/>
        </w:rPr>
        <w:t>2025</w:t>
      </w:r>
      <w:r>
        <w:rPr>
          <w:rFonts w:hint="eastAsia" w:ascii="仿宋" w:hAnsi="仿宋" w:eastAsia="仿宋" w:cs="仿宋_GB2312"/>
          <w:sz w:val="32"/>
          <w:szCs w:val="32"/>
        </w:rPr>
        <w:t>年度一般公共预算拨款支出××万元</w:t>
      </w:r>
      <w:r>
        <w:rPr>
          <w:rFonts w:hint="eastAsia" w:ascii="仿宋" w:hAnsi="仿宋" w:eastAsia="仿宋"/>
          <w:sz w:val="32"/>
          <w:szCs w:val="32"/>
        </w:rPr>
        <w:t>，比上年增加（减少）</w:t>
      </w:r>
      <w:r>
        <w:rPr>
          <w:rFonts w:hint="eastAsia" w:ascii="仿宋" w:hAnsi="仿宋" w:eastAsia="仿宋" w:cs="仿宋_GB2312"/>
          <w:kern w:val="0"/>
          <w:sz w:val="32"/>
          <w:szCs w:val="32"/>
        </w:rPr>
        <w:t>××万元，</w:t>
      </w:r>
      <w:r>
        <w:rPr>
          <w:rFonts w:hint="eastAsia" w:ascii="仿宋" w:hAnsi="仿宋" w:eastAsia="仿宋" w:cs="仿宋_GB2312"/>
          <w:sz w:val="32"/>
          <w:szCs w:val="32"/>
        </w:rPr>
        <w:t>增长（降低）××</w:t>
      </w:r>
      <w:r>
        <w:rPr>
          <w:rFonts w:ascii="仿宋" w:hAnsi="仿宋" w:eastAsia="仿宋" w:cs="仿宋_GB2312"/>
          <w:sz w:val="32"/>
          <w:szCs w:val="32"/>
        </w:rPr>
        <w:t>%</w:t>
      </w:r>
      <w:r>
        <w:rPr>
          <w:rFonts w:hint="eastAsia" w:ascii="仿宋" w:hAnsi="仿宋" w:eastAsia="仿宋" w:cs="仿宋_GB2312"/>
          <w:sz w:val="32"/>
          <w:szCs w:val="32"/>
        </w:rPr>
        <w:t>，</w:t>
      </w:r>
      <w:r>
        <w:rPr>
          <w:rFonts w:hint="eastAsia" w:ascii="仿宋" w:hAnsi="仿宋" w:eastAsia="仿宋"/>
          <w:sz w:val="32"/>
          <w:szCs w:val="32"/>
        </w:rPr>
        <w:t>主要原因是</w:t>
      </w:r>
      <w:r>
        <w:rPr>
          <w:rFonts w:hint="eastAsia" w:ascii="仿宋" w:hAnsi="仿宋" w:eastAsia="仿宋" w:cs="仿宋_GB2312"/>
          <w:sz w:val="32"/>
          <w:szCs w:val="32"/>
        </w:rPr>
        <w:t>××××××××。按照党中央、国务院和</w:t>
      </w:r>
      <w:r>
        <w:rPr>
          <w:rFonts w:hint="eastAsia" w:ascii="仿宋" w:hAnsi="仿宋" w:eastAsia="仿宋" w:cs="仿宋_GB2312"/>
          <w:sz w:val="32"/>
          <w:szCs w:val="32"/>
          <w:lang w:val="en-US" w:eastAsia="zh-CN"/>
        </w:rPr>
        <w:t>省市</w:t>
      </w:r>
      <w:r>
        <w:rPr>
          <w:rFonts w:hint="eastAsia" w:ascii="仿宋" w:hAnsi="仿宋" w:eastAsia="仿宋" w:cs="仿宋_GB2312"/>
          <w:sz w:val="32"/>
          <w:szCs w:val="32"/>
        </w:rPr>
        <w:t>关于过紧日子的有关要求，厉行节约办一切事业，大力压减一般性支出，重点压减了××××××</w:t>
      </w:r>
      <w:r>
        <w:rPr>
          <w:rFonts w:hint="eastAsia" w:ascii="楷体" w:hAnsi="楷体" w:eastAsia="楷体" w:cs="仿宋_GB2312"/>
          <w:color w:val="0000FF"/>
          <w:sz w:val="32"/>
          <w:szCs w:val="32"/>
        </w:rPr>
        <w:t>（如：公用经费和培训等项目支出中涉及的非急需非刚性支出）</w:t>
      </w:r>
      <w:r>
        <w:rPr>
          <w:rFonts w:hint="eastAsia" w:ascii="仿宋" w:hAnsi="仿宋" w:eastAsia="仿宋" w:cs="仿宋_GB2312"/>
          <w:sz w:val="32"/>
          <w:szCs w:val="32"/>
        </w:rPr>
        <w:t>，同时合理保障了××××××等工作的支出需求，体现在有关支出科目中。</w:t>
      </w:r>
      <w:r>
        <w:rPr>
          <w:rFonts w:hint="eastAsia" w:ascii="仿宋" w:hAnsi="仿宋" w:eastAsia="仿宋" w:cs="宋体"/>
          <w:bCs/>
          <w:sz w:val="32"/>
          <w:szCs w:val="32"/>
        </w:rPr>
        <w:t>其中</w:t>
      </w:r>
      <w:r>
        <w:rPr>
          <w:rFonts w:hint="eastAsia" w:ascii="仿宋" w:hAnsi="仿宋" w:eastAsia="仿宋" w:cs="宋体"/>
          <w:b/>
          <w:bCs w:val="0"/>
          <w:color w:val="0000FF"/>
          <w:sz w:val="32"/>
          <w:szCs w:val="32"/>
        </w:rPr>
        <w:t>（按项级科目分类统计）：</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（一）×××-×××</w:t>
      </w:r>
      <w:r>
        <w:rPr>
          <w:rFonts w:hint="eastAsia" w:ascii="仿宋" w:hAnsi="仿宋" w:eastAsia="仿宋" w:cs="宋体"/>
          <w:b/>
          <w:bCs w:val="0"/>
          <w:color w:val="0000FF"/>
          <w:sz w:val="32"/>
          <w:szCs w:val="32"/>
        </w:rPr>
        <w:t>（项级科目编码-名称）</w:t>
      </w:r>
      <w:r>
        <w:rPr>
          <w:rFonts w:hint="eastAsia" w:ascii="仿宋" w:hAnsi="仿宋" w:eastAsia="仿宋" w:cs="仿宋_GB2312"/>
          <w:sz w:val="32"/>
          <w:szCs w:val="32"/>
        </w:rPr>
        <w:t>××万元。主要用于××支出。</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（二）×××-×××</w:t>
      </w:r>
      <w:r>
        <w:rPr>
          <w:rFonts w:hint="eastAsia" w:ascii="仿宋" w:hAnsi="仿宋" w:eastAsia="仿宋" w:cs="宋体"/>
          <w:b/>
          <w:bCs w:val="0"/>
          <w:color w:val="0000FF"/>
          <w:sz w:val="32"/>
          <w:szCs w:val="32"/>
        </w:rPr>
        <w:t>（项级科目编码-名称）</w:t>
      </w:r>
      <w:r>
        <w:rPr>
          <w:rFonts w:hint="eastAsia" w:ascii="仿宋" w:hAnsi="仿宋" w:eastAsia="仿宋" w:cs="仿宋_GB2312"/>
          <w:sz w:val="32"/>
          <w:szCs w:val="32"/>
        </w:rPr>
        <w:t>××万元。主要用于××支出。</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w:t>
      </w:r>
      <w:r>
        <w:rPr>
          <w:rFonts w:hint="eastAsia" w:ascii="仿宋" w:hAnsi="仿宋" w:eastAsia="仿宋" w:cs="宋体"/>
          <w:b/>
          <w:bCs w:val="0"/>
          <w:color w:val="0000FF"/>
          <w:sz w:val="32"/>
          <w:szCs w:val="32"/>
        </w:rPr>
        <w:t>（项级科目编码-名称）</w:t>
      </w:r>
      <w:r>
        <w:rPr>
          <w:rFonts w:hint="eastAsia" w:ascii="仿宋" w:hAnsi="仿宋" w:eastAsia="仿宋" w:cs="仿宋_GB2312"/>
          <w:sz w:val="32"/>
          <w:szCs w:val="32"/>
        </w:rPr>
        <w:t>××万元。主要用于××支出。</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p>
    <w:p>
      <w:pPr>
        <w:tabs>
          <w:tab w:val="left" w:pos="7513"/>
        </w:tabs>
        <w:adjustRightInd w:val="0"/>
        <w:snapToGrid w:val="0"/>
        <w:spacing w:line="600" w:lineRule="exact"/>
        <w:ind w:firstLine="643" w:firstLineChars="200"/>
        <w:rPr>
          <w:rFonts w:hint="eastAsia" w:ascii="楷体" w:hAnsi="楷体" w:eastAsia="楷体" w:cs="仿宋_GB2312"/>
          <w:b/>
          <w:bCs/>
          <w:color w:val="0000FF"/>
          <w:sz w:val="32"/>
          <w:szCs w:val="32"/>
        </w:rPr>
      </w:pPr>
      <w:r>
        <w:rPr>
          <w:rFonts w:hint="eastAsia" w:ascii="楷体" w:hAnsi="楷体" w:eastAsia="楷体" w:cs="仿宋_GB2312"/>
          <w:b/>
          <w:bCs/>
          <w:color w:val="0000FF"/>
          <w:sz w:val="32"/>
          <w:szCs w:val="32"/>
        </w:rPr>
        <w:t>（注：没有一般公共预算拨款支出的</w:t>
      </w:r>
      <w:r>
        <w:rPr>
          <w:rFonts w:hint="eastAsia" w:ascii="楷体" w:hAnsi="楷体" w:eastAsia="楷体" w:cs="仿宋_GB2312"/>
          <w:b/>
          <w:bCs/>
          <w:color w:val="0000FF"/>
          <w:sz w:val="32"/>
          <w:szCs w:val="32"/>
          <w:lang w:eastAsia="zh-CN"/>
        </w:rPr>
        <w:t>单位</w:t>
      </w:r>
      <w:r>
        <w:rPr>
          <w:rFonts w:hint="eastAsia" w:ascii="楷体" w:hAnsi="楷体" w:eastAsia="楷体" w:cs="仿宋_GB2312"/>
          <w:b/>
          <w:bCs/>
          <w:color w:val="0000FF"/>
          <w:sz w:val="32"/>
          <w:szCs w:val="32"/>
        </w:rPr>
        <w:t>请说明“本</w:t>
      </w:r>
      <w:r>
        <w:rPr>
          <w:rFonts w:hint="eastAsia" w:ascii="楷体" w:hAnsi="楷体" w:eastAsia="楷体" w:cs="仿宋_GB2312"/>
          <w:b/>
          <w:bCs/>
          <w:color w:val="0000FF"/>
          <w:sz w:val="32"/>
          <w:szCs w:val="32"/>
          <w:lang w:eastAsia="zh-CN"/>
        </w:rPr>
        <w:t>单位</w:t>
      </w:r>
      <w:r>
        <w:rPr>
          <w:rFonts w:hint="default" w:ascii="楷体" w:hAnsi="楷体" w:eastAsia="楷体" w:cs="仿宋_GB2312"/>
          <w:b/>
          <w:bCs/>
          <w:color w:val="0000FF"/>
          <w:sz w:val="32"/>
          <w:szCs w:val="32"/>
        </w:rPr>
        <w:t>2025</w:t>
      </w:r>
      <w:r>
        <w:rPr>
          <w:rFonts w:hint="eastAsia" w:ascii="楷体" w:hAnsi="楷体" w:eastAsia="楷体" w:cs="仿宋_GB2312"/>
          <w:b/>
          <w:bCs/>
          <w:color w:val="0000FF"/>
          <w:sz w:val="32"/>
          <w:szCs w:val="32"/>
        </w:rPr>
        <w:t>年度没有使用一般公共预算拨款安排的支出”。）</w:t>
      </w:r>
    </w:p>
    <w:p>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三、政府性基金预算拨款支出情况</w:t>
      </w:r>
    </w:p>
    <w:p>
      <w:pPr>
        <w:tabs>
          <w:tab w:val="left" w:pos="7513"/>
        </w:tabs>
        <w:adjustRightInd w:val="0"/>
        <w:snapToGrid w:val="0"/>
        <w:spacing w:line="600" w:lineRule="exact"/>
        <w:ind w:firstLine="640" w:firstLineChars="200"/>
        <w:rPr>
          <w:rFonts w:hint="eastAsia" w:ascii="仿宋" w:hAnsi="仿宋" w:eastAsia="仿宋" w:cs="宋体"/>
          <w:b/>
          <w:bCs w:val="0"/>
          <w:color w:val="0000FF"/>
          <w:sz w:val="32"/>
          <w:szCs w:val="32"/>
        </w:rPr>
      </w:pPr>
      <w:r>
        <w:rPr>
          <w:rFonts w:hint="eastAsia" w:ascii="仿宋" w:hAnsi="仿宋" w:eastAsia="仿宋" w:cs="宋体"/>
          <w:bCs/>
          <w:sz w:val="32"/>
          <w:szCs w:val="32"/>
          <w:lang w:val="en-US" w:eastAsia="zh-CN"/>
        </w:rPr>
        <w:t>2025</w:t>
      </w:r>
      <w:r>
        <w:rPr>
          <w:rFonts w:hint="eastAsia" w:ascii="仿宋" w:hAnsi="仿宋" w:eastAsia="仿宋" w:cs="仿宋_GB2312"/>
          <w:sz w:val="32"/>
          <w:szCs w:val="32"/>
        </w:rPr>
        <w:t>年度政府性基金预算支出××万元</w:t>
      </w:r>
      <w:r>
        <w:rPr>
          <w:rFonts w:hint="eastAsia" w:ascii="仿宋" w:hAnsi="仿宋" w:eastAsia="仿宋"/>
          <w:sz w:val="32"/>
          <w:szCs w:val="32"/>
        </w:rPr>
        <w:t>，比上年增加（减少）</w:t>
      </w:r>
      <w:r>
        <w:rPr>
          <w:rFonts w:hint="eastAsia" w:ascii="仿宋" w:hAnsi="仿宋" w:eastAsia="仿宋" w:cs="仿宋_GB2312"/>
          <w:kern w:val="0"/>
          <w:sz w:val="32"/>
          <w:szCs w:val="32"/>
        </w:rPr>
        <w:t>××万元，</w:t>
      </w:r>
      <w:r>
        <w:rPr>
          <w:rFonts w:hint="eastAsia" w:ascii="仿宋" w:hAnsi="仿宋" w:eastAsia="仿宋" w:cs="仿宋_GB2312"/>
          <w:sz w:val="32"/>
          <w:szCs w:val="32"/>
        </w:rPr>
        <w:t>增长（降低）××</w:t>
      </w:r>
      <w:r>
        <w:rPr>
          <w:rFonts w:ascii="仿宋" w:hAnsi="仿宋" w:eastAsia="仿宋" w:cs="仿宋_GB2312"/>
          <w:sz w:val="32"/>
          <w:szCs w:val="32"/>
        </w:rPr>
        <w:t>%</w:t>
      </w:r>
      <w:r>
        <w:rPr>
          <w:rFonts w:hint="eastAsia" w:ascii="仿宋" w:hAnsi="仿宋" w:eastAsia="仿宋" w:cs="仿宋_GB2312"/>
          <w:sz w:val="32"/>
          <w:szCs w:val="32"/>
        </w:rPr>
        <w:t>，</w:t>
      </w:r>
      <w:r>
        <w:rPr>
          <w:rFonts w:hint="eastAsia" w:ascii="仿宋" w:hAnsi="仿宋" w:eastAsia="仿宋"/>
          <w:sz w:val="32"/>
          <w:szCs w:val="32"/>
        </w:rPr>
        <w:t>主要原因是</w:t>
      </w:r>
      <w:r>
        <w:rPr>
          <w:rFonts w:hint="eastAsia" w:ascii="仿宋" w:hAnsi="仿宋" w:eastAsia="仿宋" w:cs="仿宋_GB2312"/>
          <w:sz w:val="32"/>
          <w:szCs w:val="32"/>
        </w:rPr>
        <w:t>××××××××。按照党中央、国务院和</w:t>
      </w:r>
      <w:r>
        <w:rPr>
          <w:rFonts w:hint="eastAsia" w:ascii="仿宋" w:hAnsi="仿宋" w:eastAsia="仿宋" w:cs="仿宋_GB2312"/>
          <w:sz w:val="32"/>
          <w:szCs w:val="32"/>
          <w:lang w:val="en-US" w:eastAsia="zh-CN"/>
        </w:rPr>
        <w:t>省市</w:t>
      </w:r>
      <w:r>
        <w:rPr>
          <w:rFonts w:hint="eastAsia" w:ascii="仿宋" w:hAnsi="仿宋" w:eastAsia="仿宋" w:cs="仿宋_GB2312"/>
          <w:sz w:val="32"/>
          <w:szCs w:val="32"/>
        </w:rPr>
        <w:t>关于过紧日子的有关要求，厉行节约办一切事业，大力压减一般性支出，重点压减了××××××</w:t>
      </w:r>
      <w:r>
        <w:rPr>
          <w:rFonts w:hint="eastAsia" w:ascii="楷体" w:hAnsi="楷体" w:eastAsia="楷体" w:cs="仿宋_GB2312"/>
          <w:color w:val="0000FF"/>
          <w:sz w:val="32"/>
          <w:szCs w:val="32"/>
        </w:rPr>
        <w:t>（如：公用经费和培训等项目支出中涉及的非急需非刚性支出）</w:t>
      </w:r>
      <w:r>
        <w:rPr>
          <w:rFonts w:hint="eastAsia" w:ascii="仿宋" w:hAnsi="仿宋" w:eastAsia="仿宋" w:cs="仿宋_GB2312"/>
          <w:sz w:val="32"/>
          <w:szCs w:val="32"/>
        </w:rPr>
        <w:t>，同时合理保障了××××××等工作的支出需求，体现在有关支出科目中。其中</w:t>
      </w:r>
      <w:r>
        <w:rPr>
          <w:rFonts w:hint="eastAsia" w:ascii="仿宋" w:hAnsi="仿宋" w:eastAsia="仿宋" w:cs="宋体"/>
          <w:b/>
          <w:bCs w:val="0"/>
          <w:color w:val="0000FF"/>
          <w:sz w:val="32"/>
          <w:szCs w:val="32"/>
        </w:rPr>
        <w:t>（按项级科目分类统计）：</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（一）×××-×××</w:t>
      </w:r>
      <w:r>
        <w:rPr>
          <w:rFonts w:hint="eastAsia" w:ascii="仿宋" w:hAnsi="仿宋" w:eastAsia="仿宋" w:cs="宋体"/>
          <w:b/>
          <w:bCs w:val="0"/>
          <w:color w:val="0000FF"/>
          <w:sz w:val="32"/>
          <w:szCs w:val="32"/>
        </w:rPr>
        <w:t>（项级科目编码-名称）</w:t>
      </w:r>
      <w:r>
        <w:rPr>
          <w:rFonts w:hint="eastAsia" w:ascii="仿宋" w:hAnsi="仿宋" w:eastAsia="仿宋" w:cs="仿宋_GB2312"/>
          <w:sz w:val="32"/>
          <w:szCs w:val="32"/>
        </w:rPr>
        <w:t>××万元。主要用于××支出。</w:t>
      </w:r>
    </w:p>
    <w:p>
      <w:pPr>
        <w:tabs>
          <w:tab w:val="left" w:pos="7513"/>
        </w:tabs>
        <w:adjustRightInd w:val="0"/>
        <w:snapToGrid w:val="0"/>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（二）×××-×××</w:t>
      </w:r>
      <w:r>
        <w:rPr>
          <w:rFonts w:hint="eastAsia" w:ascii="仿宋" w:hAnsi="仿宋" w:eastAsia="仿宋" w:cs="宋体"/>
          <w:b/>
          <w:bCs w:val="0"/>
          <w:color w:val="0000FF"/>
          <w:sz w:val="32"/>
          <w:szCs w:val="32"/>
        </w:rPr>
        <w:t>（项级科目编码-名称）</w:t>
      </w:r>
      <w:r>
        <w:rPr>
          <w:rFonts w:hint="eastAsia" w:ascii="仿宋" w:hAnsi="仿宋" w:eastAsia="仿宋" w:cs="仿宋_GB2312"/>
          <w:sz w:val="32"/>
          <w:szCs w:val="32"/>
        </w:rPr>
        <w:t>××万元。主要用于××支出。</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w:t>
      </w:r>
      <w:r>
        <w:rPr>
          <w:rFonts w:hint="eastAsia" w:ascii="仿宋" w:hAnsi="仿宋" w:eastAsia="仿宋" w:cs="宋体"/>
          <w:b/>
          <w:bCs w:val="0"/>
          <w:color w:val="0000FF"/>
          <w:sz w:val="32"/>
          <w:szCs w:val="32"/>
        </w:rPr>
        <w:t>（项级科目编码-名称）</w:t>
      </w:r>
      <w:r>
        <w:rPr>
          <w:rFonts w:hint="eastAsia" w:ascii="仿宋" w:hAnsi="仿宋" w:eastAsia="仿宋" w:cs="仿宋_GB2312"/>
          <w:sz w:val="32"/>
          <w:szCs w:val="32"/>
        </w:rPr>
        <w:t>××万元。主要用于××支出。</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p>
    <w:p>
      <w:pPr>
        <w:tabs>
          <w:tab w:val="left" w:pos="7513"/>
        </w:tabs>
        <w:adjustRightInd w:val="0"/>
        <w:snapToGrid w:val="0"/>
        <w:spacing w:line="600" w:lineRule="exact"/>
        <w:ind w:firstLine="643" w:firstLineChars="200"/>
        <w:rPr>
          <w:rFonts w:hint="eastAsia" w:ascii="楷体" w:hAnsi="楷体" w:eastAsia="楷体" w:cs="仿宋_GB2312"/>
          <w:b/>
          <w:bCs/>
          <w:color w:val="0000FF"/>
          <w:sz w:val="32"/>
          <w:szCs w:val="32"/>
        </w:rPr>
      </w:pPr>
      <w:r>
        <w:rPr>
          <w:rFonts w:hint="eastAsia" w:ascii="楷体" w:hAnsi="楷体" w:eastAsia="楷体" w:cs="仿宋_GB2312"/>
          <w:b/>
          <w:bCs/>
          <w:color w:val="0000FF"/>
          <w:sz w:val="32"/>
          <w:szCs w:val="32"/>
        </w:rPr>
        <w:t>（注：1.过紧日子有关情况如在“二、一般公共预算拨款支出情况”中已作说明，本段中可不再重复说明；2.没有政府性基金拨款支出的</w:t>
      </w:r>
      <w:r>
        <w:rPr>
          <w:rFonts w:hint="eastAsia" w:ascii="楷体" w:hAnsi="楷体" w:eastAsia="楷体" w:cs="仿宋_GB2312"/>
          <w:b/>
          <w:bCs/>
          <w:color w:val="0000FF"/>
          <w:sz w:val="32"/>
          <w:szCs w:val="32"/>
          <w:lang w:eastAsia="zh-CN"/>
        </w:rPr>
        <w:t>单位</w:t>
      </w:r>
      <w:r>
        <w:rPr>
          <w:rFonts w:hint="eastAsia" w:ascii="楷体" w:hAnsi="楷体" w:eastAsia="楷体" w:cs="仿宋_GB2312"/>
          <w:b/>
          <w:bCs/>
          <w:color w:val="0000FF"/>
          <w:sz w:val="32"/>
          <w:szCs w:val="32"/>
        </w:rPr>
        <w:t>请说明“本</w:t>
      </w:r>
      <w:r>
        <w:rPr>
          <w:rFonts w:hint="eastAsia" w:ascii="楷体" w:hAnsi="楷体" w:eastAsia="楷体" w:cs="仿宋_GB2312"/>
          <w:b/>
          <w:bCs/>
          <w:color w:val="0000FF"/>
          <w:sz w:val="32"/>
          <w:szCs w:val="32"/>
          <w:lang w:eastAsia="zh-CN"/>
        </w:rPr>
        <w:t>单位</w:t>
      </w:r>
      <w:r>
        <w:rPr>
          <w:rFonts w:hint="default" w:ascii="楷体" w:hAnsi="楷体" w:eastAsia="楷体" w:cs="仿宋_GB2312"/>
          <w:b/>
          <w:bCs/>
          <w:color w:val="0000FF"/>
          <w:sz w:val="32"/>
          <w:szCs w:val="32"/>
        </w:rPr>
        <w:t>2025</w:t>
      </w:r>
      <w:r>
        <w:rPr>
          <w:rFonts w:hint="eastAsia" w:ascii="楷体" w:hAnsi="楷体" w:eastAsia="楷体" w:cs="仿宋_GB2312"/>
          <w:b/>
          <w:bCs/>
          <w:color w:val="0000FF"/>
          <w:sz w:val="32"/>
          <w:szCs w:val="32"/>
        </w:rPr>
        <w:t>年度没有使用政府性基金预算拨款安排的支出”。）</w:t>
      </w:r>
    </w:p>
    <w:p>
      <w:pPr>
        <w:tabs>
          <w:tab w:val="left" w:pos="7513"/>
        </w:tabs>
        <w:adjustRightInd w:val="0"/>
        <w:snapToGrid w:val="0"/>
        <w:spacing w:line="600" w:lineRule="exact"/>
        <w:ind w:firstLine="640" w:firstLineChars="200"/>
        <w:rPr>
          <w:rFonts w:ascii="黑体" w:hAnsi="黑体" w:eastAsia="黑体" w:cs="仿宋_GB2312"/>
          <w:bCs/>
          <w:sz w:val="32"/>
          <w:szCs w:val="32"/>
        </w:rPr>
      </w:pPr>
      <w:r>
        <w:rPr>
          <w:rFonts w:hint="eastAsia" w:ascii="黑体" w:hAnsi="黑体" w:eastAsia="黑体" w:cs="仿宋_GB2312"/>
          <w:bCs/>
          <w:sz w:val="32"/>
          <w:szCs w:val="32"/>
        </w:rPr>
        <w:t>四、国有资本经营预算拨款支出情况</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hint="eastAsia" w:ascii="仿宋" w:hAnsi="仿宋" w:eastAsia="仿宋" w:cs="宋体"/>
          <w:bCs/>
          <w:sz w:val="32"/>
          <w:szCs w:val="32"/>
          <w:lang w:val="en-US" w:eastAsia="zh-CN"/>
        </w:rPr>
        <w:t>2025</w:t>
      </w:r>
      <w:r>
        <w:rPr>
          <w:rFonts w:hint="eastAsia" w:ascii="仿宋" w:hAnsi="仿宋" w:eastAsia="仿宋" w:cs="仿宋_GB2312"/>
          <w:sz w:val="32"/>
          <w:szCs w:val="32"/>
        </w:rPr>
        <w:t>年度国有资本经营预算支出</w:t>
      </w:r>
      <w:r>
        <w:rPr>
          <w:rFonts w:hint="eastAsia" w:ascii="仿宋" w:hAnsi="仿宋" w:eastAsia="仿宋"/>
          <w:sz w:val="32"/>
          <w:szCs w:val="32"/>
        </w:rPr>
        <w:t>××</w:t>
      </w:r>
      <w:r>
        <w:rPr>
          <w:rFonts w:hint="eastAsia" w:ascii="仿宋" w:hAnsi="仿宋" w:eastAsia="仿宋" w:cs="仿宋_GB2312"/>
          <w:sz w:val="32"/>
          <w:szCs w:val="32"/>
        </w:rPr>
        <w:t>万元，</w:t>
      </w:r>
      <w:r>
        <w:rPr>
          <w:rFonts w:hint="eastAsia" w:ascii="仿宋" w:hAnsi="仿宋" w:eastAsia="仿宋"/>
          <w:sz w:val="32"/>
          <w:szCs w:val="32"/>
        </w:rPr>
        <w:t>比上年增加（减少）</w:t>
      </w:r>
      <w:r>
        <w:rPr>
          <w:rFonts w:hint="eastAsia" w:ascii="仿宋" w:hAnsi="仿宋" w:eastAsia="仿宋" w:cs="仿宋_GB2312"/>
          <w:kern w:val="0"/>
          <w:sz w:val="32"/>
          <w:szCs w:val="32"/>
        </w:rPr>
        <w:t>××万元，</w:t>
      </w:r>
      <w:r>
        <w:rPr>
          <w:rFonts w:hint="eastAsia" w:ascii="仿宋" w:hAnsi="仿宋" w:eastAsia="仿宋" w:cs="仿宋_GB2312"/>
          <w:sz w:val="32"/>
          <w:szCs w:val="32"/>
        </w:rPr>
        <w:t>增长（降低）××</w:t>
      </w:r>
      <w:r>
        <w:rPr>
          <w:rFonts w:ascii="仿宋" w:hAnsi="仿宋" w:eastAsia="仿宋" w:cs="仿宋_GB2312"/>
          <w:sz w:val="32"/>
          <w:szCs w:val="32"/>
        </w:rPr>
        <w:t>%</w:t>
      </w:r>
      <w:r>
        <w:rPr>
          <w:rFonts w:hint="eastAsia" w:ascii="仿宋" w:hAnsi="仿宋" w:eastAsia="仿宋" w:cs="仿宋_GB2312"/>
          <w:sz w:val="32"/>
          <w:szCs w:val="32"/>
        </w:rPr>
        <w:t>，</w:t>
      </w:r>
      <w:r>
        <w:rPr>
          <w:rFonts w:hint="eastAsia" w:ascii="仿宋" w:hAnsi="仿宋" w:eastAsia="仿宋"/>
          <w:sz w:val="32"/>
          <w:szCs w:val="32"/>
        </w:rPr>
        <w:t>主要原因是</w:t>
      </w:r>
      <w:r>
        <w:rPr>
          <w:rFonts w:hint="eastAsia" w:ascii="仿宋" w:hAnsi="仿宋" w:eastAsia="仿宋" w:cs="仿宋_GB2312"/>
          <w:sz w:val="32"/>
          <w:szCs w:val="32"/>
        </w:rPr>
        <w:t>××××××××，主要支出项目</w:t>
      </w:r>
      <w:r>
        <w:rPr>
          <w:rFonts w:hint="eastAsia" w:ascii="仿宋" w:hAnsi="仿宋" w:eastAsia="仿宋" w:cs="仿宋_GB2312"/>
          <w:b/>
          <w:bCs/>
          <w:color w:val="0000FF"/>
          <w:sz w:val="32"/>
          <w:szCs w:val="32"/>
        </w:rPr>
        <w:t>(按项级科目分类统计)</w:t>
      </w:r>
      <w:r>
        <w:rPr>
          <w:rFonts w:hint="eastAsia" w:ascii="仿宋" w:hAnsi="仿宋" w:eastAsia="仿宋" w:cs="仿宋_GB2312"/>
          <w:sz w:val="32"/>
          <w:szCs w:val="32"/>
        </w:rPr>
        <w:t>包括：</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hint="eastAsia" w:ascii="仿宋" w:hAnsi="仿宋" w:eastAsia="仿宋" w:cs="仿宋_GB2312"/>
          <w:sz w:val="32"/>
          <w:szCs w:val="32"/>
        </w:rPr>
        <w:t>（一）×××-×××</w:t>
      </w:r>
      <w:r>
        <w:rPr>
          <w:rFonts w:hint="eastAsia" w:ascii="仿宋" w:hAnsi="仿宋" w:eastAsia="仿宋" w:cs="仿宋_GB2312"/>
          <w:b/>
          <w:bCs/>
          <w:color w:val="0000FF"/>
          <w:sz w:val="32"/>
          <w:szCs w:val="32"/>
        </w:rPr>
        <w:t>（项级科目编码-名称）</w:t>
      </w:r>
      <w:r>
        <w:rPr>
          <w:rFonts w:hint="eastAsia" w:ascii="仿宋" w:hAnsi="仿宋" w:eastAsia="仿宋"/>
          <w:sz w:val="32"/>
          <w:szCs w:val="32"/>
        </w:rPr>
        <w:t>××</w:t>
      </w:r>
      <w:r>
        <w:rPr>
          <w:rFonts w:hint="eastAsia" w:ascii="仿宋" w:hAnsi="仿宋" w:eastAsia="仿宋" w:cs="仿宋_GB2312"/>
          <w:sz w:val="32"/>
          <w:szCs w:val="32"/>
        </w:rPr>
        <w:t>万元，主要用于×××××。</w:t>
      </w:r>
    </w:p>
    <w:p>
      <w:pPr>
        <w:tabs>
          <w:tab w:val="left" w:pos="7513"/>
        </w:tabs>
        <w:adjustRightInd w:val="0"/>
        <w:snapToGrid w:val="0"/>
        <w:spacing w:line="600" w:lineRule="exact"/>
        <w:ind w:firstLine="704" w:firstLineChars="220"/>
        <w:rPr>
          <w:rFonts w:ascii="仿宋" w:hAnsi="仿宋" w:eastAsia="仿宋" w:cs="仿宋_GB2312"/>
          <w:sz w:val="32"/>
          <w:szCs w:val="32"/>
        </w:rPr>
      </w:pPr>
      <w:r>
        <w:rPr>
          <w:rFonts w:hint="eastAsia" w:ascii="仿宋" w:hAnsi="仿宋" w:eastAsia="仿宋" w:cs="仿宋_GB2312"/>
          <w:sz w:val="32"/>
          <w:szCs w:val="32"/>
        </w:rPr>
        <w:t>（二）×××-×××</w:t>
      </w:r>
      <w:r>
        <w:rPr>
          <w:rFonts w:hint="eastAsia" w:ascii="仿宋" w:hAnsi="仿宋" w:eastAsia="仿宋" w:cs="仿宋_GB2312"/>
          <w:b/>
          <w:bCs/>
          <w:color w:val="0000FF"/>
          <w:sz w:val="32"/>
          <w:szCs w:val="32"/>
        </w:rPr>
        <w:t>（项级科目编码-名称）</w:t>
      </w:r>
      <w:r>
        <w:rPr>
          <w:rFonts w:hint="eastAsia" w:ascii="仿宋" w:hAnsi="仿宋" w:eastAsia="仿宋"/>
          <w:sz w:val="32"/>
          <w:szCs w:val="32"/>
        </w:rPr>
        <w:t>××</w:t>
      </w:r>
      <w:r>
        <w:rPr>
          <w:rFonts w:hint="eastAsia" w:ascii="仿宋" w:hAnsi="仿宋" w:eastAsia="仿宋" w:cs="仿宋_GB2312"/>
          <w:sz w:val="32"/>
          <w:szCs w:val="32"/>
        </w:rPr>
        <w:t>万元，主要用于×××××。</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w:t>
      </w:r>
      <w:r>
        <w:rPr>
          <w:rFonts w:hint="eastAsia" w:ascii="仿宋" w:hAnsi="仿宋" w:eastAsia="仿宋" w:cs="仿宋_GB2312"/>
          <w:b/>
          <w:bCs/>
          <w:color w:val="0000FF"/>
          <w:sz w:val="32"/>
          <w:szCs w:val="32"/>
        </w:rPr>
        <w:t>（项级科目编码-名称）</w:t>
      </w:r>
      <w:r>
        <w:rPr>
          <w:rFonts w:hint="eastAsia" w:ascii="仿宋" w:hAnsi="仿宋" w:eastAsia="仿宋"/>
          <w:sz w:val="32"/>
          <w:szCs w:val="32"/>
        </w:rPr>
        <w:t>××</w:t>
      </w:r>
      <w:r>
        <w:rPr>
          <w:rFonts w:hint="eastAsia" w:ascii="仿宋" w:hAnsi="仿宋" w:eastAsia="仿宋" w:cs="仿宋_GB2312"/>
          <w:sz w:val="32"/>
          <w:szCs w:val="32"/>
        </w:rPr>
        <w:t>万元，主要用于×××××。</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p>
    <w:p>
      <w:pPr>
        <w:tabs>
          <w:tab w:val="left" w:pos="7513"/>
        </w:tabs>
        <w:adjustRightInd w:val="0"/>
        <w:snapToGrid w:val="0"/>
        <w:spacing w:line="600" w:lineRule="exact"/>
        <w:ind w:firstLine="643" w:firstLineChars="200"/>
        <w:rPr>
          <w:rFonts w:hint="eastAsia" w:ascii="楷体" w:hAnsi="楷体" w:eastAsia="楷体" w:cs="仿宋_GB2312"/>
          <w:b/>
          <w:bCs/>
          <w:color w:val="0000FF"/>
          <w:sz w:val="32"/>
          <w:szCs w:val="32"/>
        </w:rPr>
      </w:pPr>
      <w:r>
        <w:rPr>
          <w:rFonts w:hint="eastAsia" w:ascii="楷体" w:hAnsi="楷体" w:eastAsia="楷体" w:cs="仿宋_GB2312"/>
          <w:b/>
          <w:bCs/>
          <w:color w:val="0000FF"/>
          <w:sz w:val="32"/>
          <w:szCs w:val="32"/>
        </w:rPr>
        <w:t>（注：没有国有资本经营预算财政拨款支出的</w:t>
      </w:r>
      <w:r>
        <w:rPr>
          <w:rFonts w:hint="eastAsia" w:ascii="楷体" w:hAnsi="楷体" w:eastAsia="楷体" w:cs="仿宋_GB2312"/>
          <w:b/>
          <w:bCs/>
          <w:color w:val="0000FF"/>
          <w:sz w:val="32"/>
          <w:szCs w:val="32"/>
          <w:lang w:eastAsia="zh-CN"/>
        </w:rPr>
        <w:t>单位</w:t>
      </w:r>
      <w:r>
        <w:rPr>
          <w:rFonts w:hint="eastAsia" w:ascii="楷体" w:hAnsi="楷体" w:eastAsia="楷体" w:cs="仿宋_GB2312"/>
          <w:b/>
          <w:bCs/>
          <w:color w:val="0000FF"/>
          <w:sz w:val="32"/>
          <w:szCs w:val="32"/>
        </w:rPr>
        <w:t>请说明“本</w:t>
      </w:r>
      <w:r>
        <w:rPr>
          <w:rFonts w:hint="eastAsia" w:ascii="楷体" w:hAnsi="楷体" w:eastAsia="楷体" w:cs="仿宋_GB2312"/>
          <w:b/>
          <w:bCs/>
          <w:color w:val="0000FF"/>
          <w:sz w:val="32"/>
          <w:szCs w:val="32"/>
          <w:lang w:eastAsia="zh-CN"/>
        </w:rPr>
        <w:t>单位</w:t>
      </w:r>
      <w:r>
        <w:rPr>
          <w:rFonts w:hint="default" w:ascii="楷体" w:hAnsi="楷体" w:eastAsia="楷体" w:cs="仿宋_GB2312"/>
          <w:b/>
          <w:bCs/>
          <w:color w:val="0000FF"/>
          <w:sz w:val="32"/>
          <w:szCs w:val="32"/>
        </w:rPr>
        <w:t>2025</w:t>
      </w:r>
      <w:r>
        <w:rPr>
          <w:rFonts w:hint="eastAsia" w:ascii="楷体" w:hAnsi="楷体" w:eastAsia="楷体" w:cs="仿宋_GB2312"/>
          <w:b/>
          <w:bCs/>
          <w:color w:val="0000FF"/>
          <w:sz w:val="32"/>
          <w:szCs w:val="32"/>
        </w:rPr>
        <w:t>年度没有使用国有资本经营预算拨款安排的支出”。）</w:t>
      </w:r>
    </w:p>
    <w:p>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五、一般公共预算拨款基本支出情况</w:t>
      </w:r>
    </w:p>
    <w:p>
      <w:pPr>
        <w:tabs>
          <w:tab w:val="left" w:pos="7513"/>
        </w:tabs>
        <w:adjustRightInd w:val="0"/>
        <w:snapToGrid w:val="0"/>
        <w:spacing w:line="600" w:lineRule="exact"/>
        <w:ind w:firstLine="800" w:firstLineChars="250"/>
        <w:rPr>
          <w:rFonts w:ascii="仿宋" w:hAnsi="仿宋" w:eastAsia="仿宋" w:cs="仿宋_GB2312"/>
          <w:sz w:val="32"/>
          <w:szCs w:val="32"/>
        </w:rPr>
      </w:pPr>
      <w:r>
        <w:rPr>
          <w:rFonts w:hint="eastAsia" w:ascii="仿宋" w:hAnsi="仿宋" w:eastAsia="仿宋" w:cs="仿宋_GB2312"/>
          <w:sz w:val="32"/>
          <w:szCs w:val="32"/>
          <w:lang w:val="en-US" w:eastAsia="zh-CN"/>
        </w:rPr>
        <w:t>2025</w:t>
      </w:r>
      <w:r>
        <w:rPr>
          <w:rFonts w:hint="eastAsia" w:ascii="仿宋" w:hAnsi="仿宋" w:eastAsia="仿宋" w:cs="仿宋_GB2312"/>
          <w:sz w:val="32"/>
          <w:szCs w:val="32"/>
        </w:rPr>
        <w:t>年度一般公共预算拨款基本支出××万元，其中：</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人员经费××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支出。</w:t>
      </w:r>
    </w:p>
    <w:p>
      <w:pPr>
        <w:tabs>
          <w:tab w:val="left" w:pos="7513"/>
        </w:tabs>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公用经费××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资本性支出。</w:t>
      </w:r>
    </w:p>
    <w:p>
      <w:pPr>
        <w:tabs>
          <w:tab w:val="left" w:pos="7513"/>
        </w:tabs>
        <w:adjustRightInd w:val="0"/>
        <w:snapToGrid w:val="0"/>
        <w:spacing w:line="600" w:lineRule="exact"/>
        <w:ind w:firstLine="640" w:firstLineChars="200"/>
        <w:rPr>
          <w:rFonts w:ascii="黑体" w:hAnsi="黑体" w:eastAsia="黑体"/>
          <w:sz w:val="32"/>
          <w:szCs w:val="32"/>
        </w:rPr>
      </w:pPr>
      <w:r>
        <w:rPr>
          <w:rFonts w:hint="eastAsia" w:ascii="黑体" w:hAnsi="黑体" w:eastAsia="黑体"/>
          <w:sz w:val="32"/>
          <w:szCs w:val="32"/>
        </w:rPr>
        <w:t>六、一般公共预算“三公”经费支出情况</w:t>
      </w:r>
    </w:p>
    <w:p>
      <w:pPr>
        <w:widowControl/>
        <w:adjustRightInd w:val="0"/>
        <w:snapToGrid w:val="0"/>
        <w:spacing w:line="600" w:lineRule="exact"/>
        <w:ind w:firstLine="660"/>
        <w:rPr>
          <w:rFonts w:ascii="楷体" w:hAnsi="楷体" w:eastAsia="楷体" w:cs="宋体"/>
          <w:b/>
          <w:bCs/>
          <w:kern w:val="0"/>
          <w:sz w:val="32"/>
          <w:szCs w:val="32"/>
        </w:rPr>
      </w:pPr>
      <w:r>
        <w:rPr>
          <w:rFonts w:hint="eastAsia" w:ascii="楷体" w:hAnsi="楷体" w:eastAsia="楷体"/>
          <w:b/>
          <w:sz w:val="32"/>
          <w:szCs w:val="32"/>
        </w:rPr>
        <w:t>（一）</w:t>
      </w:r>
      <w:r>
        <w:rPr>
          <w:rFonts w:hint="eastAsia" w:ascii="楷体" w:hAnsi="楷体" w:eastAsia="楷体" w:cs="宋体"/>
          <w:b/>
          <w:bCs/>
          <w:kern w:val="0"/>
          <w:sz w:val="32"/>
          <w:szCs w:val="32"/>
        </w:rPr>
        <w:t>因公出国（境）经费</w:t>
      </w:r>
    </w:p>
    <w:p>
      <w:pPr>
        <w:widowControl/>
        <w:adjustRightInd w:val="0"/>
        <w:snapToGrid w:val="0"/>
        <w:spacing w:line="600" w:lineRule="exact"/>
        <w:ind w:firstLine="660"/>
        <w:rPr>
          <w:rFonts w:ascii="仿宋" w:hAnsi="仿宋" w:eastAsia="仿宋" w:cs="仿宋_GB2312"/>
          <w:sz w:val="32"/>
          <w:szCs w:val="32"/>
        </w:rPr>
      </w:pPr>
      <w:r>
        <w:rPr>
          <w:rFonts w:hint="eastAsia" w:ascii="仿宋" w:hAnsi="仿宋" w:eastAsia="仿宋" w:cs="仿宋_GB2312"/>
          <w:kern w:val="0"/>
          <w:sz w:val="32"/>
          <w:szCs w:val="32"/>
          <w:lang w:val="en-US" w:eastAsia="zh-CN"/>
        </w:rPr>
        <w:t>2025</w:t>
      </w:r>
      <w:r>
        <w:rPr>
          <w:rFonts w:hint="eastAsia" w:ascii="仿宋" w:hAnsi="仿宋" w:eastAsia="仿宋" w:cs="宋体"/>
          <w:kern w:val="0"/>
          <w:sz w:val="32"/>
          <w:szCs w:val="32"/>
        </w:rPr>
        <w:t>年预算安排</w:t>
      </w:r>
      <w:r>
        <w:rPr>
          <w:rFonts w:hint="eastAsia" w:ascii="仿宋" w:hAnsi="仿宋" w:eastAsia="仿宋" w:cs="仿宋_GB2312"/>
          <w:kern w:val="0"/>
          <w:sz w:val="32"/>
          <w:szCs w:val="32"/>
        </w:rPr>
        <w:t>××</w:t>
      </w:r>
      <w:r>
        <w:rPr>
          <w:rFonts w:hint="eastAsia" w:ascii="仿宋" w:hAnsi="仿宋" w:eastAsia="仿宋" w:cs="宋体"/>
          <w:kern w:val="0"/>
          <w:sz w:val="32"/>
          <w:szCs w:val="32"/>
        </w:rPr>
        <w:t>万元，</w:t>
      </w:r>
      <w:r>
        <w:rPr>
          <w:rFonts w:hint="eastAsia" w:ascii="仿宋" w:hAnsi="仿宋" w:eastAsia="仿宋" w:cs="仿宋_GB2312"/>
          <w:sz w:val="32"/>
          <w:szCs w:val="32"/>
        </w:rPr>
        <w:t>比上年减少（增加）</w:t>
      </w:r>
      <w:r>
        <w:rPr>
          <w:rFonts w:hint="eastAsia" w:ascii="仿宋" w:hAnsi="仿宋" w:eastAsia="仿宋" w:cs="仿宋_GB2312"/>
          <w:kern w:val="0"/>
          <w:sz w:val="32"/>
          <w:szCs w:val="32"/>
        </w:rPr>
        <w:t>××万元，</w:t>
      </w:r>
      <w:r>
        <w:rPr>
          <w:rFonts w:hint="eastAsia" w:ascii="仿宋" w:hAnsi="仿宋" w:eastAsia="仿宋" w:cs="仿宋_GB2312"/>
          <w:sz w:val="32"/>
          <w:szCs w:val="32"/>
        </w:rPr>
        <w:t>降低（增长）××</w:t>
      </w:r>
      <w:r>
        <w:rPr>
          <w:rFonts w:ascii="仿宋" w:hAnsi="仿宋" w:eastAsia="仿宋" w:cs="仿宋_GB2312"/>
          <w:sz w:val="32"/>
          <w:szCs w:val="32"/>
        </w:rPr>
        <w:t>%</w:t>
      </w:r>
      <w:r>
        <w:rPr>
          <w:rFonts w:hint="eastAsia" w:ascii="仿宋" w:hAnsi="仿宋" w:eastAsia="仿宋" w:cs="仿宋_GB2312"/>
          <w:sz w:val="32"/>
          <w:szCs w:val="32"/>
        </w:rPr>
        <w:t>。主要原因是:××××××××。</w:t>
      </w:r>
    </w:p>
    <w:p>
      <w:pPr>
        <w:widowControl/>
        <w:adjustRightInd w:val="0"/>
        <w:snapToGrid w:val="0"/>
        <w:spacing w:line="600" w:lineRule="exact"/>
        <w:ind w:firstLine="660"/>
        <w:rPr>
          <w:rFonts w:ascii="楷体" w:hAnsi="楷体" w:eastAsia="楷体" w:cs="宋体"/>
          <w:b/>
          <w:bCs/>
          <w:kern w:val="0"/>
          <w:sz w:val="32"/>
          <w:szCs w:val="32"/>
        </w:rPr>
      </w:pPr>
      <w:r>
        <w:rPr>
          <w:rFonts w:hint="eastAsia" w:ascii="楷体" w:hAnsi="楷体" w:eastAsia="楷体"/>
          <w:b/>
          <w:sz w:val="32"/>
          <w:szCs w:val="32"/>
        </w:rPr>
        <w:t>（二）</w:t>
      </w:r>
      <w:r>
        <w:rPr>
          <w:rFonts w:hint="eastAsia" w:ascii="楷体" w:hAnsi="楷体" w:eastAsia="楷体" w:cs="宋体"/>
          <w:b/>
          <w:bCs/>
          <w:kern w:val="0"/>
          <w:sz w:val="32"/>
          <w:szCs w:val="32"/>
        </w:rPr>
        <w:t>公务接待费</w:t>
      </w:r>
    </w:p>
    <w:p>
      <w:pPr>
        <w:widowControl/>
        <w:adjustRightInd w:val="0"/>
        <w:snapToGrid w:val="0"/>
        <w:spacing w:line="600" w:lineRule="exact"/>
        <w:ind w:firstLine="660"/>
        <w:rPr>
          <w:rFonts w:ascii="仿宋" w:hAnsi="仿宋" w:eastAsia="仿宋" w:cs="仿宋_GB2312"/>
          <w:sz w:val="32"/>
          <w:szCs w:val="32"/>
        </w:rPr>
      </w:pPr>
      <w:r>
        <w:rPr>
          <w:rFonts w:hint="eastAsia" w:ascii="仿宋" w:hAnsi="仿宋" w:eastAsia="仿宋" w:cs="仿宋_GB2312"/>
          <w:kern w:val="0"/>
          <w:sz w:val="32"/>
          <w:szCs w:val="32"/>
          <w:lang w:val="en-US" w:eastAsia="zh-CN"/>
        </w:rPr>
        <w:t>2025</w:t>
      </w:r>
      <w:r>
        <w:rPr>
          <w:rFonts w:hint="eastAsia" w:ascii="仿宋" w:hAnsi="仿宋" w:eastAsia="仿宋" w:cs="宋体"/>
          <w:kern w:val="0"/>
          <w:sz w:val="32"/>
          <w:szCs w:val="32"/>
        </w:rPr>
        <w:t>年预算安排</w:t>
      </w:r>
      <w:r>
        <w:rPr>
          <w:rFonts w:hint="eastAsia" w:ascii="仿宋" w:hAnsi="仿宋" w:eastAsia="仿宋" w:cs="仿宋_GB2312"/>
          <w:kern w:val="0"/>
          <w:sz w:val="32"/>
          <w:szCs w:val="32"/>
        </w:rPr>
        <w:t>××</w:t>
      </w:r>
      <w:r>
        <w:rPr>
          <w:rFonts w:hint="eastAsia" w:ascii="仿宋" w:hAnsi="仿宋" w:eastAsia="仿宋" w:cs="宋体"/>
          <w:kern w:val="0"/>
          <w:sz w:val="32"/>
          <w:szCs w:val="32"/>
        </w:rPr>
        <w:t>万元，</w:t>
      </w:r>
      <w:r>
        <w:rPr>
          <w:rFonts w:hint="eastAsia" w:ascii="仿宋" w:hAnsi="仿宋" w:eastAsia="仿宋" w:cs="仿宋_GB2312"/>
          <w:sz w:val="32"/>
          <w:szCs w:val="32"/>
        </w:rPr>
        <w:t>比上年减少（增加）</w:t>
      </w:r>
      <w:r>
        <w:rPr>
          <w:rFonts w:hint="eastAsia" w:ascii="仿宋" w:hAnsi="仿宋" w:eastAsia="仿宋" w:cs="仿宋_GB2312"/>
          <w:kern w:val="0"/>
          <w:sz w:val="32"/>
          <w:szCs w:val="32"/>
        </w:rPr>
        <w:t>××万元，</w:t>
      </w:r>
      <w:r>
        <w:rPr>
          <w:rFonts w:hint="eastAsia" w:ascii="仿宋" w:hAnsi="仿宋" w:eastAsia="仿宋" w:cs="仿宋_GB2312"/>
          <w:sz w:val="32"/>
          <w:szCs w:val="32"/>
        </w:rPr>
        <w:t>降低（增长）××</w:t>
      </w:r>
      <w:r>
        <w:rPr>
          <w:rFonts w:ascii="仿宋" w:hAnsi="仿宋" w:eastAsia="仿宋" w:cs="仿宋_GB2312"/>
          <w:sz w:val="32"/>
          <w:szCs w:val="32"/>
        </w:rPr>
        <w:t>%</w:t>
      </w:r>
      <w:r>
        <w:rPr>
          <w:rFonts w:hint="eastAsia" w:ascii="仿宋" w:hAnsi="仿宋" w:eastAsia="仿宋" w:cs="仿宋_GB2312"/>
          <w:sz w:val="32"/>
          <w:szCs w:val="32"/>
        </w:rPr>
        <w:t>。主要原因是:××××××××。</w:t>
      </w:r>
    </w:p>
    <w:p>
      <w:pPr>
        <w:adjustRightInd w:val="0"/>
        <w:snapToGrid w:val="0"/>
        <w:spacing w:line="600" w:lineRule="exact"/>
        <w:ind w:firstLine="643" w:firstLineChars="200"/>
        <w:rPr>
          <w:rFonts w:ascii="楷体" w:hAnsi="楷体" w:eastAsia="楷体" w:cs="宋体"/>
          <w:b/>
          <w:bCs/>
          <w:kern w:val="0"/>
          <w:sz w:val="32"/>
          <w:szCs w:val="32"/>
        </w:rPr>
      </w:pPr>
      <w:r>
        <w:rPr>
          <w:rFonts w:hint="eastAsia" w:ascii="楷体" w:hAnsi="楷体" w:eastAsia="楷体"/>
          <w:b/>
          <w:sz w:val="32"/>
          <w:szCs w:val="32"/>
        </w:rPr>
        <w:t>（三）</w:t>
      </w:r>
      <w:r>
        <w:rPr>
          <w:rFonts w:hint="eastAsia" w:ascii="楷体" w:hAnsi="楷体" w:eastAsia="楷体" w:cs="宋体"/>
          <w:b/>
          <w:bCs/>
          <w:kern w:val="0"/>
          <w:sz w:val="32"/>
          <w:szCs w:val="32"/>
        </w:rPr>
        <w:t>公务用车购置及运行费</w:t>
      </w:r>
    </w:p>
    <w:p>
      <w:pPr>
        <w:adjustRightInd w:val="0"/>
        <w:snapToGrid w:val="0"/>
        <w:spacing w:line="600" w:lineRule="exact"/>
        <w:ind w:firstLine="640" w:firstLineChars="200"/>
        <w:rPr>
          <w:rFonts w:ascii="仿宋" w:hAnsi="仿宋" w:eastAsia="仿宋" w:cs="仿宋_GB2312"/>
          <w:sz w:val="32"/>
          <w:szCs w:val="32"/>
        </w:rPr>
      </w:pPr>
      <w:r>
        <w:rPr>
          <w:rFonts w:hint="eastAsia" w:ascii="仿宋" w:hAnsi="仿宋" w:eastAsia="仿宋" w:cs="宋体"/>
          <w:kern w:val="0"/>
          <w:sz w:val="32"/>
          <w:szCs w:val="32"/>
        </w:rPr>
        <w:t xml:space="preserve"> </w:t>
      </w:r>
      <w:r>
        <w:rPr>
          <w:rFonts w:hint="default" w:ascii="仿宋" w:hAnsi="仿宋" w:eastAsia="仿宋" w:cs="仿宋_GB2312"/>
          <w:kern w:val="0"/>
          <w:sz w:val="32"/>
          <w:szCs w:val="32"/>
        </w:rPr>
        <w:t>2025</w:t>
      </w:r>
      <w:r>
        <w:rPr>
          <w:rFonts w:hint="eastAsia" w:ascii="仿宋" w:hAnsi="仿宋" w:eastAsia="仿宋" w:cs="宋体"/>
          <w:kern w:val="0"/>
          <w:sz w:val="32"/>
          <w:szCs w:val="32"/>
        </w:rPr>
        <w:t>年预算安排</w:t>
      </w:r>
      <w:r>
        <w:rPr>
          <w:rFonts w:hint="eastAsia" w:ascii="仿宋" w:hAnsi="仿宋" w:eastAsia="仿宋" w:cs="仿宋_GB2312"/>
          <w:kern w:val="0"/>
          <w:sz w:val="32"/>
          <w:szCs w:val="32"/>
        </w:rPr>
        <w:t>××</w:t>
      </w:r>
      <w:r>
        <w:rPr>
          <w:rFonts w:hint="eastAsia" w:ascii="仿宋" w:hAnsi="仿宋" w:eastAsia="仿宋" w:cs="宋体"/>
          <w:kern w:val="0"/>
          <w:sz w:val="32"/>
          <w:szCs w:val="32"/>
        </w:rPr>
        <w:t>万元，其中：公务用车运行费</w:t>
      </w:r>
      <w:r>
        <w:rPr>
          <w:rFonts w:hint="eastAsia" w:ascii="仿宋" w:hAnsi="仿宋" w:eastAsia="仿宋" w:cs="仿宋_GB2312"/>
          <w:kern w:val="0"/>
          <w:sz w:val="32"/>
          <w:szCs w:val="32"/>
        </w:rPr>
        <w:t>××</w:t>
      </w:r>
      <w:r>
        <w:rPr>
          <w:rFonts w:hint="eastAsia" w:ascii="仿宋" w:hAnsi="仿宋" w:eastAsia="仿宋" w:cs="宋体"/>
          <w:kern w:val="0"/>
          <w:sz w:val="32"/>
          <w:szCs w:val="32"/>
        </w:rPr>
        <w:t>万元，</w:t>
      </w:r>
      <w:r>
        <w:rPr>
          <w:rFonts w:hint="eastAsia" w:ascii="仿宋" w:hAnsi="仿宋" w:eastAsia="仿宋" w:cs="仿宋_GB2312"/>
          <w:sz w:val="32"/>
          <w:szCs w:val="32"/>
        </w:rPr>
        <w:t>比上年减少（增加）</w:t>
      </w:r>
      <w:r>
        <w:rPr>
          <w:rFonts w:hint="eastAsia" w:ascii="仿宋" w:hAnsi="仿宋" w:eastAsia="仿宋" w:cs="仿宋_GB2312"/>
          <w:kern w:val="0"/>
          <w:sz w:val="32"/>
          <w:szCs w:val="32"/>
        </w:rPr>
        <w:t>××万元，</w:t>
      </w:r>
      <w:r>
        <w:rPr>
          <w:rFonts w:hint="eastAsia" w:ascii="仿宋" w:hAnsi="仿宋" w:eastAsia="仿宋" w:cs="仿宋_GB2312"/>
          <w:sz w:val="32"/>
          <w:szCs w:val="32"/>
        </w:rPr>
        <w:t>降低（增长）××%；</w:t>
      </w:r>
      <w:r>
        <w:rPr>
          <w:rFonts w:hint="eastAsia" w:ascii="仿宋" w:hAnsi="仿宋" w:eastAsia="仿宋" w:cs="宋体"/>
          <w:kern w:val="0"/>
          <w:sz w:val="32"/>
          <w:szCs w:val="32"/>
        </w:rPr>
        <w:t>公务用车购置费</w:t>
      </w:r>
      <w:r>
        <w:rPr>
          <w:rFonts w:hint="eastAsia" w:ascii="仿宋" w:hAnsi="仿宋" w:eastAsia="仿宋" w:cs="仿宋_GB2312"/>
          <w:kern w:val="0"/>
          <w:sz w:val="32"/>
          <w:szCs w:val="32"/>
        </w:rPr>
        <w:t>××</w:t>
      </w:r>
      <w:r>
        <w:rPr>
          <w:rFonts w:hint="eastAsia" w:ascii="仿宋" w:hAnsi="仿宋" w:eastAsia="仿宋" w:cs="宋体"/>
          <w:kern w:val="0"/>
          <w:sz w:val="32"/>
          <w:szCs w:val="32"/>
        </w:rPr>
        <w:t>万元，</w:t>
      </w:r>
      <w:r>
        <w:rPr>
          <w:rFonts w:hint="eastAsia" w:ascii="仿宋" w:hAnsi="仿宋" w:eastAsia="仿宋" w:cs="仿宋_GB2312"/>
          <w:sz w:val="32"/>
          <w:szCs w:val="32"/>
        </w:rPr>
        <w:t>比上年减少（增加）</w:t>
      </w:r>
      <w:r>
        <w:rPr>
          <w:rFonts w:hint="eastAsia" w:ascii="仿宋" w:hAnsi="仿宋" w:eastAsia="仿宋" w:cs="仿宋_GB2312"/>
          <w:kern w:val="0"/>
          <w:sz w:val="32"/>
          <w:szCs w:val="32"/>
        </w:rPr>
        <w:t>××万元，</w:t>
      </w:r>
      <w:r>
        <w:rPr>
          <w:rFonts w:hint="eastAsia" w:ascii="仿宋" w:hAnsi="仿宋" w:eastAsia="仿宋" w:cs="仿宋_GB2312"/>
          <w:sz w:val="32"/>
          <w:szCs w:val="32"/>
        </w:rPr>
        <w:t>降低（增长）××%。主要原因是:××××××××。</w:t>
      </w:r>
    </w:p>
    <w:p>
      <w:pPr>
        <w:adjustRightInd w:val="0"/>
        <w:snapToGrid w:val="0"/>
        <w:spacing w:line="600" w:lineRule="exact"/>
        <w:ind w:firstLine="643" w:firstLineChars="200"/>
        <w:rPr>
          <w:rFonts w:hint="eastAsia" w:ascii="楷体" w:hAnsi="楷体" w:eastAsia="楷体" w:cs="仿宋_GB2312"/>
          <w:b/>
          <w:bCs/>
          <w:color w:val="0000FF"/>
          <w:sz w:val="32"/>
          <w:szCs w:val="32"/>
        </w:rPr>
      </w:pPr>
      <w:r>
        <w:rPr>
          <w:rFonts w:hint="eastAsia" w:ascii="楷体" w:hAnsi="楷体" w:eastAsia="楷体" w:cs="仿宋_GB2312"/>
          <w:b/>
          <w:bCs/>
          <w:color w:val="0000FF"/>
          <w:sz w:val="32"/>
          <w:szCs w:val="32"/>
        </w:rPr>
        <w:t>（注：增减变动金额为0的，请标注“与上年持平”，其中：如预算金额为0，可不说明原因；如预算金额不为0，可简要说明“主要是保障……需要”。）</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七、预算绩效目标情况</w:t>
      </w:r>
    </w:p>
    <w:p>
      <w:pPr>
        <w:spacing w:line="590" w:lineRule="exact"/>
        <w:ind w:firstLine="630" w:firstLineChars="196"/>
        <w:rPr>
          <w:rFonts w:ascii="仿宋" w:hAnsi="仿宋" w:eastAsia="仿宋" w:cs="仿宋_GB2312"/>
          <w:kern w:val="0"/>
          <w:sz w:val="32"/>
          <w:szCs w:val="32"/>
        </w:rPr>
      </w:pPr>
      <w:r>
        <w:rPr>
          <w:rFonts w:hint="eastAsia" w:ascii="楷体" w:hAnsi="楷体" w:eastAsia="楷体"/>
          <w:b/>
          <w:sz w:val="32"/>
          <w:szCs w:val="32"/>
        </w:rPr>
        <w:t>（一）绩效目标设置情况</w:t>
      </w:r>
    </w:p>
    <w:p>
      <w:pPr>
        <w:spacing w:line="590" w:lineRule="exact"/>
        <w:ind w:firstLine="627" w:firstLineChars="196"/>
        <w:rPr>
          <w:rFonts w:ascii="仿宋" w:hAnsi="仿宋" w:eastAsia="仿宋" w:cs="仿宋_GB2312"/>
          <w:kern w:val="0"/>
          <w:sz w:val="32"/>
          <w:szCs w:val="32"/>
        </w:rPr>
      </w:pPr>
      <w:r>
        <w:rPr>
          <w:rFonts w:hint="eastAsia" w:ascii="仿宋" w:hAnsi="仿宋" w:eastAsia="仿宋" w:cs="仿宋_GB2312"/>
          <w:kern w:val="0"/>
          <w:sz w:val="32"/>
          <w:szCs w:val="32"/>
          <w:lang w:val="en-US" w:eastAsia="zh-CN"/>
        </w:rPr>
        <w:t>2025</w:t>
      </w:r>
      <w:r>
        <w:rPr>
          <w:rFonts w:hint="eastAsia" w:ascii="仿宋" w:hAnsi="仿宋" w:eastAsia="仿宋" w:cs="仿宋_GB2312"/>
          <w:kern w:val="0"/>
          <w:sz w:val="32"/>
          <w:szCs w:val="32"/>
        </w:rPr>
        <w:t>年，××</w:t>
      </w:r>
      <w:r>
        <w:rPr>
          <w:rFonts w:hint="eastAsia" w:ascii="仿宋" w:hAnsi="仿宋" w:eastAsia="仿宋" w:cs="仿宋_GB2312"/>
          <w:kern w:val="0"/>
          <w:sz w:val="32"/>
          <w:szCs w:val="32"/>
          <w:lang w:eastAsia="zh-CN"/>
        </w:rPr>
        <w:t>单位</w:t>
      </w:r>
      <w:r>
        <w:rPr>
          <w:rFonts w:hint="eastAsia" w:ascii="仿宋" w:hAnsi="仿宋" w:eastAsia="仿宋" w:cs="仿宋_GB2312"/>
          <w:kern w:val="0"/>
          <w:sz w:val="32"/>
          <w:szCs w:val="32"/>
        </w:rPr>
        <w:t>共设置××个项目绩效目标，共涉及财政拨款资金××万元。</w:t>
      </w:r>
    </w:p>
    <w:p>
      <w:pPr>
        <w:spacing w:line="590" w:lineRule="exact"/>
        <w:ind w:firstLine="630" w:firstLineChars="196"/>
        <w:rPr>
          <w:rFonts w:ascii="楷体" w:hAnsi="楷体" w:eastAsia="楷体"/>
          <w:b/>
          <w:sz w:val="32"/>
          <w:szCs w:val="32"/>
        </w:rPr>
      </w:pPr>
      <w:r>
        <w:rPr>
          <w:rFonts w:hint="eastAsia" w:ascii="楷体" w:hAnsi="楷体" w:eastAsia="楷体"/>
          <w:b/>
          <w:sz w:val="32"/>
          <w:szCs w:val="32"/>
        </w:rPr>
        <w:t>（二）绩效目标表及说明</w:t>
      </w:r>
    </w:p>
    <w:p>
      <w:pPr>
        <w:spacing w:line="590" w:lineRule="exact"/>
        <w:ind w:firstLine="643" w:firstLineChars="200"/>
        <w:rPr>
          <w:rFonts w:hint="eastAsia" w:ascii="仿宋" w:hAnsi="仿宋" w:eastAsia="仿宋"/>
          <w:b/>
          <w:sz w:val="32"/>
          <w:szCs w:val="32"/>
        </w:rPr>
      </w:pPr>
      <w:r>
        <w:rPr>
          <w:rFonts w:ascii="仿宋" w:hAnsi="仿宋" w:eastAsia="仿宋"/>
          <w:b/>
          <w:sz w:val="32"/>
          <w:szCs w:val="32"/>
        </w:rPr>
        <w:t>1.项目支出绩效目标表</w:t>
      </w:r>
    </w:p>
    <w:p>
      <w:pPr>
        <w:spacing w:line="590" w:lineRule="exact"/>
        <w:ind w:firstLine="643" w:firstLineChars="200"/>
        <w:rPr>
          <w:rFonts w:hint="eastAsia" w:ascii="仿宋" w:hAnsi="仿宋" w:eastAsia="仿宋"/>
          <w:b/>
          <w:sz w:val="32"/>
          <w:szCs w:val="32"/>
        </w:rPr>
      </w:pPr>
    </w:p>
    <w:p>
      <w:pPr>
        <w:spacing w:line="590" w:lineRule="exact"/>
        <w:ind w:firstLine="643" w:firstLineChars="200"/>
        <w:rPr>
          <w:rFonts w:ascii="仿宋" w:hAnsi="仿宋" w:eastAsia="仿宋"/>
          <w:b/>
          <w:sz w:val="32"/>
          <w:szCs w:val="32"/>
        </w:rPr>
      </w:pPr>
    </w:p>
    <w:tbl>
      <w:tblPr>
        <w:tblW w:w="823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5"/>
        <w:gridCol w:w="1480"/>
        <w:gridCol w:w="1733"/>
        <w:gridCol w:w="1748"/>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trPr>
        <w:tc>
          <w:tcPr>
            <w:tcW w:w="8237" w:type="dxa"/>
            <w:gridSpan w:val="5"/>
            <w:tcBorders>
              <w:top w:val="nil"/>
              <w:left w:val="nil"/>
              <w:bottom w:val="single" w:color="auto" w:sz="4" w:space="0"/>
              <w:right w:val="nil"/>
            </w:tcBorders>
            <w:vAlign w:val="top"/>
          </w:tcPr>
          <w:p>
            <w:pPr>
              <w:widowControl/>
              <w:spacing w:line="240" w:lineRule="auto"/>
              <w:jc w:val="center"/>
              <w:rPr>
                <w:rFonts w:ascii="方正小标宋简体" w:hAnsi="宋体" w:eastAsia="方正小标宋简体" w:cs="宋体"/>
                <w:color w:val="000000"/>
                <w:kern w:val="0"/>
                <w:sz w:val="40"/>
                <w:szCs w:val="40"/>
              </w:rPr>
            </w:pPr>
            <w:r>
              <w:rPr>
                <w:rFonts w:hint="eastAsia" w:ascii="方正小标宋简体" w:hAnsi="宋体" w:eastAsia="方正小标宋简体" w:cs="宋体"/>
                <w:color w:val="000000"/>
                <w:kern w:val="0"/>
                <w:sz w:val="40"/>
                <w:szCs w:val="40"/>
              </w:rPr>
              <w:t>××绩效目标表</w:t>
            </w:r>
            <w:r>
              <w:rPr>
                <w:rFonts w:hint="eastAsia" w:ascii="方正小标宋简体" w:hAnsi="宋体" w:eastAsia="方正小标宋简体" w:cs="宋体"/>
                <w:color w:val="000000"/>
                <w:kern w:val="0"/>
                <w:sz w:val="40"/>
                <w:szCs w:val="40"/>
              </w:rPr>
              <w:br/>
            </w:r>
            <w:r>
              <w:rPr>
                <w:rFonts w:hint="eastAsia" w:ascii="楷体" w:hAnsi="楷体" w:eastAsia="楷体" w:cs="宋体"/>
                <w:color w:val="0000FF"/>
                <w:kern w:val="0"/>
                <w:sz w:val="32"/>
                <w:szCs w:val="32"/>
              </w:rPr>
              <w:t>（注：××填</w:t>
            </w:r>
            <w:r>
              <w:rPr>
                <w:rFonts w:hint="eastAsia" w:ascii="楷体" w:hAnsi="楷体" w:eastAsia="楷体" w:cs="宋体"/>
                <w:color w:val="0000FF"/>
                <w:kern w:val="0"/>
                <w:sz w:val="32"/>
                <w:szCs w:val="32"/>
                <w:lang w:eastAsia="zh-CN"/>
              </w:rPr>
              <w:t>单位</w:t>
            </w:r>
            <w:r>
              <w:rPr>
                <w:rFonts w:hint="eastAsia" w:ascii="楷体" w:hAnsi="楷体" w:eastAsia="楷体" w:cs="宋体"/>
                <w:color w:val="0000FF"/>
                <w:kern w:val="0"/>
                <w:sz w:val="32"/>
                <w:szCs w:val="32"/>
              </w:rPr>
              <w:t>业务费或具体立项项目名称）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575" w:type="dxa"/>
            <w:vMerge w:val="restart"/>
            <w:tcBorders>
              <w:top w:val="nil"/>
              <w:left w:val="single" w:color="auto" w:sz="4" w:space="0"/>
              <w:bottom w:val="nil"/>
              <w:right w:val="single" w:color="auto"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项目资金（万元）</w:t>
            </w:r>
          </w:p>
        </w:tc>
        <w:tc>
          <w:tcPr>
            <w:tcW w:w="3213" w:type="dxa"/>
            <w:gridSpan w:val="2"/>
            <w:tcBorders>
              <w:top w:val="single" w:color="auto" w:sz="4" w:space="0"/>
              <w:left w:val="nil"/>
              <w:bottom w:val="single" w:color="auto" w:sz="4" w:space="0"/>
              <w:right w:val="single" w:color="000000"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xml:space="preserve">资金总额： </w:t>
            </w:r>
          </w:p>
        </w:tc>
        <w:tc>
          <w:tcPr>
            <w:tcW w:w="3449" w:type="dxa"/>
            <w:gridSpan w:val="2"/>
            <w:tcBorders>
              <w:top w:val="single" w:color="auto" w:sz="4" w:space="0"/>
              <w:left w:val="nil"/>
              <w:bottom w:val="single" w:color="auto" w:sz="4" w:space="0"/>
              <w:right w:val="single" w:color="000000"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575" w:type="dxa"/>
            <w:vMerge w:val="continue"/>
            <w:tcBorders>
              <w:top w:val="nil"/>
              <w:left w:val="single" w:color="auto" w:sz="4" w:space="0"/>
              <w:bottom w:val="nil"/>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3213" w:type="dxa"/>
            <w:gridSpan w:val="2"/>
            <w:tcBorders>
              <w:top w:val="single" w:color="auto" w:sz="4" w:space="0"/>
              <w:left w:val="nil"/>
              <w:bottom w:val="single" w:color="auto" w:sz="4" w:space="0"/>
              <w:right w:val="single" w:color="000000"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xml:space="preserve">     财政拨款：</w:t>
            </w:r>
          </w:p>
        </w:tc>
        <w:tc>
          <w:tcPr>
            <w:tcW w:w="3449" w:type="dxa"/>
            <w:gridSpan w:val="2"/>
            <w:tcBorders>
              <w:top w:val="single" w:color="auto" w:sz="4" w:space="0"/>
              <w:left w:val="nil"/>
              <w:bottom w:val="single" w:color="auto" w:sz="4" w:space="0"/>
              <w:right w:val="single" w:color="000000"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575" w:type="dxa"/>
            <w:vMerge w:val="continue"/>
            <w:tcBorders>
              <w:top w:val="nil"/>
              <w:left w:val="single" w:color="auto" w:sz="4" w:space="0"/>
              <w:bottom w:val="nil"/>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3213" w:type="dxa"/>
            <w:gridSpan w:val="2"/>
            <w:tcBorders>
              <w:top w:val="single" w:color="auto" w:sz="4" w:space="0"/>
              <w:left w:val="nil"/>
              <w:bottom w:val="single" w:color="auto" w:sz="4" w:space="0"/>
              <w:right w:val="single" w:color="000000"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3449" w:type="dxa"/>
            <w:gridSpan w:val="2"/>
            <w:tcBorders>
              <w:top w:val="single" w:color="auto" w:sz="4" w:space="0"/>
              <w:left w:val="nil"/>
              <w:bottom w:val="single" w:color="auto" w:sz="4" w:space="0"/>
              <w:right w:val="single" w:color="000000"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5" w:hRule="atLeast"/>
        </w:trPr>
        <w:tc>
          <w:tcPr>
            <w:tcW w:w="157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总体目标</w:t>
            </w:r>
          </w:p>
        </w:tc>
        <w:tc>
          <w:tcPr>
            <w:tcW w:w="6662" w:type="dxa"/>
            <w:gridSpan w:val="4"/>
            <w:tcBorders>
              <w:top w:val="single" w:color="auto" w:sz="4" w:space="0"/>
              <w:left w:val="nil"/>
              <w:bottom w:val="single" w:color="auto" w:sz="4" w:space="0"/>
              <w:right w:val="single" w:color="000000"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restart"/>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绩效目标指标</w:t>
            </w:r>
          </w:p>
        </w:tc>
        <w:tc>
          <w:tcPr>
            <w:tcW w:w="1480" w:type="dxa"/>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1733" w:type="dxa"/>
            <w:tcBorders>
              <w:top w:val="nil"/>
              <w:left w:val="nil"/>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1748" w:type="dxa"/>
            <w:tcBorders>
              <w:top w:val="nil"/>
              <w:left w:val="nil"/>
              <w:bottom w:val="single" w:color="auto" w:sz="4" w:space="0"/>
              <w:right w:val="nil"/>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center"/>
              <w:rPr>
                <w:rFonts w:ascii="宋体" w:hAnsi="宋体" w:eastAsia="宋体" w:cs="宋体"/>
                <w:color w:val="000000"/>
                <w:kern w:val="0"/>
                <w:sz w:val="22"/>
              </w:rPr>
            </w:pPr>
            <w:r>
              <w:rPr>
                <w:rFonts w:hint="eastAsia" w:ascii="宋体" w:hAnsi="宋体" w:eastAsia="宋体" w:cs="宋体"/>
                <w:color w:val="000000"/>
                <w:kern w:val="0"/>
                <w:sz w:val="22"/>
              </w:rPr>
              <w:t>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restart"/>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成本指标</w:t>
            </w: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经济成本指标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社会成本指标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生态环境成本指标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restart"/>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产出指标</w:t>
            </w: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质量指标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restart"/>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效益指标</w:t>
            </w: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经济效益指标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社会效益指标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生态效益指标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9" w:hRule="atLeast"/>
        </w:trPr>
        <w:tc>
          <w:tcPr>
            <w:tcW w:w="1575"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p>
        </w:tc>
        <w:tc>
          <w:tcPr>
            <w:tcW w:w="1480"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满意度指标</w:t>
            </w:r>
          </w:p>
        </w:tc>
        <w:tc>
          <w:tcPr>
            <w:tcW w:w="1733" w:type="dxa"/>
            <w:tcBorders>
              <w:top w:val="nil"/>
              <w:left w:val="nil"/>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1748" w:type="dxa"/>
            <w:tcBorders>
              <w:top w:val="nil"/>
              <w:left w:val="nil"/>
              <w:bottom w:val="single" w:color="auto" w:sz="4" w:space="0"/>
              <w:right w:val="nil"/>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01" w:type="dxa"/>
            <w:tcBorders>
              <w:top w:val="nil"/>
              <w:left w:val="single" w:color="auto" w:sz="4" w:space="0"/>
              <w:bottom w:val="single" w:color="auto" w:sz="4" w:space="0"/>
              <w:right w:val="single" w:color="auto" w:sz="4" w:space="0"/>
            </w:tcBorders>
            <w:vAlign w:val="center"/>
          </w:tcPr>
          <w:p>
            <w:pPr>
              <w:widowControl/>
              <w:spacing w:line="240" w:lineRule="auto"/>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bl>
    <w:p>
      <w:pPr>
        <w:spacing w:line="590" w:lineRule="exact"/>
        <w:ind w:firstLine="643" w:firstLineChars="200"/>
        <w:rPr>
          <w:rFonts w:hint="eastAsia" w:ascii="楷体" w:hAnsi="楷体" w:eastAsia="楷体" w:cs="楷体"/>
          <w:b/>
          <w:bCs/>
          <w:color w:val="0000FF"/>
          <w:kern w:val="0"/>
          <w:sz w:val="32"/>
          <w:szCs w:val="32"/>
        </w:rPr>
      </w:pPr>
      <w:r>
        <w:rPr>
          <w:rFonts w:hint="eastAsia" w:ascii="楷体" w:hAnsi="楷体" w:eastAsia="楷体" w:cs="楷体"/>
          <w:b/>
          <w:bCs/>
          <w:color w:val="0000FF"/>
          <w:kern w:val="0"/>
          <w:sz w:val="32"/>
          <w:szCs w:val="32"/>
        </w:rPr>
        <w:t>（注：如无项目支出绩效目标表，则说明“本</w:t>
      </w:r>
      <w:r>
        <w:rPr>
          <w:rFonts w:hint="eastAsia" w:ascii="楷体" w:hAnsi="楷体" w:eastAsia="楷体" w:cs="楷体"/>
          <w:b/>
          <w:bCs/>
          <w:color w:val="0000FF"/>
          <w:kern w:val="0"/>
          <w:sz w:val="32"/>
          <w:szCs w:val="32"/>
          <w:lang w:eastAsia="zh-CN"/>
        </w:rPr>
        <w:t>单位</w:t>
      </w:r>
      <w:r>
        <w:rPr>
          <w:rFonts w:hint="eastAsia" w:ascii="楷体" w:hAnsi="楷体" w:eastAsia="楷体" w:cs="楷体"/>
          <w:b/>
          <w:bCs/>
          <w:color w:val="0000FF"/>
          <w:kern w:val="0"/>
          <w:sz w:val="32"/>
          <w:szCs w:val="32"/>
        </w:rPr>
        <w:t>无项目支出绩效目标表”，不用附绩效目标表空表。）</w:t>
      </w:r>
    </w:p>
    <w:p>
      <w:pPr>
        <w:spacing w:line="590" w:lineRule="exact"/>
        <w:ind w:firstLine="643" w:firstLineChars="200"/>
        <w:rPr>
          <w:rFonts w:ascii="仿宋" w:hAnsi="仿宋" w:eastAsia="仿宋"/>
          <w:b/>
          <w:sz w:val="32"/>
          <w:szCs w:val="32"/>
        </w:rPr>
      </w:pPr>
      <w:r>
        <w:rPr>
          <w:rFonts w:hint="eastAsia" w:ascii="仿宋" w:hAnsi="仿宋" w:eastAsia="仿宋"/>
          <w:b/>
          <w:sz w:val="32"/>
          <w:szCs w:val="32"/>
        </w:rPr>
        <w:t>2.</w:t>
      </w:r>
      <w:r>
        <w:rPr>
          <w:rFonts w:ascii="仿宋" w:hAnsi="仿宋" w:eastAsia="仿宋"/>
          <w:b/>
          <w:sz w:val="32"/>
          <w:szCs w:val="32"/>
        </w:rPr>
        <w:t>有关情况说明</w:t>
      </w:r>
    </w:p>
    <w:p>
      <w:pPr>
        <w:spacing w:line="59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p>
    <w:p>
      <w:pPr>
        <w:spacing w:line="590" w:lineRule="exact"/>
        <w:ind w:firstLine="643" w:firstLineChars="200"/>
        <w:rPr>
          <w:rFonts w:hint="eastAsia" w:ascii="楷体" w:hAnsi="楷体" w:eastAsia="楷体" w:cs="楷体"/>
          <w:b/>
          <w:bCs/>
          <w:color w:val="0000FF"/>
          <w:kern w:val="0"/>
          <w:sz w:val="32"/>
          <w:szCs w:val="32"/>
        </w:rPr>
      </w:pPr>
      <w:r>
        <w:rPr>
          <w:rFonts w:hint="eastAsia" w:ascii="楷体" w:hAnsi="楷体" w:eastAsia="楷体" w:cs="楷体"/>
          <w:b/>
          <w:bCs/>
          <w:color w:val="0000FF"/>
          <w:kern w:val="0"/>
          <w:sz w:val="32"/>
          <w:szCs w:val="32"/>
        </w:rPr>
        <w:t>（注：如无相关说明，则填“本</w:t>
      </w:r>
      <w:r>
        <w:rPr>
          <w:rFonts w:hint="eastAsia" w:ascii="楷体" w:hAnsi="楷体" w:eastAsia="楷体" w:cs="楷体"/>
          <w:b/>
          <w:bCs/>
          <w:color w:val="0000FF"/>
          <w:kern w:val="0"/>
          <w:sz w:val="32"/>
          <w:szCs w:val="32"/>
          <w:lang w:eastAsia="zh-CN"/>
        </w:rPr>
        <w:t>单位</w:t>
      </w:r>
      <w:r>
        <w:rPr>
          <w:rFonts w:hint="eastAsia" w:ascii="楷体" w:hAnsi="楷体" w:eastAsia="楷体" w:cs="楷体"/>
          <w:b/>
          <w:bCs/>
          <w:color w:val="0000FF"/>
          <w:kern w:val="0"/>
          <w:sz w:val="32"/>
          <w:szCs w:val="32"/>
        </w:rPr>
        <w:t>无其他需要说明的绩效目标情况”；如无项目支出绩效目标表，应说明情况。）</w:t>
      </w:r>
    </w:p>
    <w:p>
      <w:pPr>
        <w:spacing w:line="600" w:lineRule="exact"/>
        <w:rPr>
          <w:rFonts w:ascii="黑体" w:hAnsi="黑体" w:eastAsia="黑体"/>
          <w:sz w:val="32"/>
          <w:szCs w:val="32"/>
        </w:rPr>
      </w:pPr>
      <w:r>
        <w:rPr>
          <w:rFonts w:hint="eastAsia" w:ascii="黑体" w:hAnsi="黑体" w:eastAsia="黑体"/>
          <w:sz w:val="32"/>
          <w:szCs w:val="32"/>
        </w:rPr>
        <w:t xml:space="preserve">    八、其他重要事项说明</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（一）机关运行经费</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kern w:val="0"/>
          <w:sz w:val="32"/>
          <w:szCs w:val="32"/>
          <w:lang w:val="en-US" w:eastAsia="zh-CN"/>
        </w:rPr>
        <w:t>2025</w:t>
      </w:r>
      <w:r>
        <w:rPr>
          <w:rFonts w:hint="eastAsia" w:ascii="仿宋" w:hAnsi="仿宋" w:eastAsia="仿宋"/>
          <w:sz w:val="32"/>
          <w:szCs w:val="32"/>
        </w:rPr>
        <w:t>年，</w:t>
      </w:r>
      <w:r>
        <w:rPr>
          <w:rFonts w:hint="eastAsia" w:ascii="仿宋" w:hAnsi="仿宋" w:eastAsia="仿宋" w:cs="仿宋_GB2312"/>
          <w:kern w:val="0"/>
          <w:sz w:val="32"/>
          <w:szCs w:val="32"/>
        </w:rPr>
        <w:t>××</w:t>
      </w:r>
      <w:r>
        <w:rPr>
          <w:rFonts w:hint="eastAsia" w:ascii="仿宋" w:hAnsi="仿宋" w:eastAsia="仿宋"/>
          <w:sz w:val="32"/>
          <w:szCs w:val="32"/>
          <w:lang w:eastAsia="zh-CN"/>
        </w:rPr>
        <w:t>单位</w:t>
      </w:r>
      <w:r>
        <w:rPr>
          <w:rFonts w:hint="eastAsia" w:ascii="仿宋" w:hAnsi="仿宋" w:eastAsia="仿宋"/>
          <w:sz w:val="32"/>
          <w:szCs w:val="32"/>
        </w:rPr>
        <w:t>一般公共预算拨款安排的机关运行经费支出</w:t>
      </w:r>
      <w:r>
        <w:rPr>
          <w:rFonts w:hint="eastAsia" w:ascii="仿宋" w:hAnsi="仿宋" w:eastAsia="仿宋" w:cs="仿宋_GB2312"/>
          <w:kern w:val="0"/>
          <w:sz w:val="32"/>
          <w:szCs w:val="32"/>
        </w:rPr>
        <w:t>××</w:t>
      </w:r>
      <w:r>
        <w:rPr>
          <w:rFonts w:hint="eastAsia" w:ascii="仿宋" w:hAnsi="仿宋" w:eastAsia="仿宋"/>
          <w:sz w:val="32"/>
          <w:szCs w:val="32"/>
        </w:rPr>
        <w:t>万元，</w:t>
      </w:r>
      <w:r>
        <w:rPr>
          <w:rFonts w:hint="eastAsia" w:ascii="仿宋" w:hAnsi="仿宋" w:eastAsia="仿宋" w:cs="仿宋_GB2312"/>
          <w:sz w:val="32"/>
          <w:szCs w:val="32"/>
        </w:rPr>
        <w:t>比上年减少（增加）</w:t>
      </w:r>
      <w:r>
        <w:rPr>
          <w:rFonts w:hint="eastAsia" w:ascii="仿宋" w:hAnsi="仿宋" w:eastAsia="仿宋" w:cs="仿宋_GB2312"/>
          <w:kern w:val="0"/>
          <w:sz w:val="32"/>
          <w:szCs w:val="32"/>
        </w:rPr>
        <w:t>××万元，</w:t>
      </w:r>
      <w:r>
        <w:rPr>
          <w:rFonts w:hint="eastAsia" w:ascii="仿宋" w:hAnsi="仿宋" w:eastAsia="仿宋" w:cs="仿宋_GB2312"/>
          <w:sz w:val="32"/>
          <w:szCs w:val="32"/>
        </w:rPr>
        <w:t>降低（增长）××</w:t>
      </w:r>
      <w:r>
        <w:rPr>
          <w:rFonts w:ascii="仿宋" w:hAnsi="仿宋" w:eastAsia="仿宋" w:cs="仿宋_GB2312"/>
          <w:sz w:val="32"/>
          <w:szCs w:val="32"/>
        </w:rPr>
        <w:t>%</w:t>
      </w:r>
      <w:r>
        <w:rPr>
          <w:rFonts w:hint="eastAsia" w:ascii="仿宋" w:hAnsi="仿宋" w:eastAsia="仿宋"/>
          <w:sz w:val="32"/>
          <w:szCs w:val="32"/>
        </w:rPr>
        <w:t>。主要原因是</w:t>
      </w:r>
      <w:r>
        <w:rPr>
          <w:rFonts w:hint="eastAsia" w:ascii="仿宋" w:hAnsi="仿宋" w:eastAsia="仿宋" w:cs="仿宋_GB2312"/>
          <w:sz w:val="32"/>
          <w:szCs w:val="32"/>
        </w:rPr>
        <w:t>××××××××。</w:t>
      </w:r>
    </w:p>
    <w:p>
      <w:pPr>
        <w:spacing w:line="600" w:lineRule="exact"/>
        <w:ind w:firstLine="643" w:firstLineChars="200"/>
        <w:rPr>
          <w:rFonts w:hint="eastAsia" w:ascii="楷体" w:hAnsi="楷体" w:eastAsia="楷体"/>
          <w:b/>
          <w:bCs/>
          <w:color w:val="0000FF"/>
          <w:sz w:val="32"/>
          <w:szCs w:val="32"/>
        </w:rPr>
      </w:pPr>
      <w:r>
        <w:rPr>
          <w:rFonts w:hint="eastAsia" w:ascii="楷体" w:hAnsi="楷体" w:eastAsia="楷体"/>
          <w:b/>
          <w:bCs/>
          <w:color w:val="0000FF"/>
          <w:sz w:val="32"/>
          <w:szCs w:val="32"/>
        </w:rPr>
        <w:t>（注：机关运行经费统计范围包括行政单位和参公管理事业单位；没有机关运行经费的</w:t>
      </w:r>
      <w:r>
        <w:rPr>
          <w:rFonts w:hint="eastAsia" w:ascii="楷体" w:hAnsi="楷体" w:eastAsia="楷体"/>
          <w:b/>
          <w:bCs/>
          <w:color w:val="0000FF"/>
          <w:sz w:val="32"/>
          <w:szCs w:val="32"/>
          <w:lang w:eastAsia="zh-CN"/>
        </w:rPr>
        <w:t>单位</w:t>
      </w:r>
      <w:r>
        <w:rPr>
          <w:rFonts w:hint="eastAsia" w:ascii="楷体" w:hAnsi="楷体" w:eastAsia="楷体"/>
          <w:b/>
          <w:bCs/>
          <w:color w:val="0000FF"/>
          <w:sz w:val="32"/>
          <w:szCs w:val="32"/>
        </w:rPr>
        <w:t>应在“主要原因”说明“本</w:t>
      </w:r>
      <w:r>
        <w:rPr>
          <w:rFonts w:hint="eastAsia" w:ascii="楷体" w:hAnsi="楷体" w:eastAsia="楷体"/>
          <w:b/>
          <w:bCs/>
          <w:color w:val="0000FF"/>
          <w:sz w:val="32"/>
          <w:szCs w:val="32"/>
          <w:lang w:eastAsia="zh-CN"/>
        </w:rPr>
        <w:t>单位</w:t>
      </w:r>
      <w:r>
        <w:rPr>
          <w:rFonts w:hint="eastAsia" w:ascii="楷体" w:hAnsi="楷体" w:eastAsia="楷体"/>
          <w:b/>
          <w:bCs/>
          <w:color w:val="0000FF"/>
          <w:sz w:val="32"/>
          <w:szCs w:val="32"/>
        </w:rPr>
        <w:t>没有机关运行经费”。预算金额不为0但增减变动金额为0的，可简要说明“主要是保障……需要”。）</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（二）政府采购情况</w:t>
      </w:r>
    </w:p>
    <w:p>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lang w:val="en-US" w:eastAsia="zh-CN"/>
        </w:rPr>
        <w:t>2025</w:t>
      </w:r>
      <w:r>
        <w:rPr>
          <w:rFonts w:hint="eastAsia" w:ascii="仿宋" w:hAnsi="仿宋" w:eastAsia="仿宋"/>
          <w:kern w:val="0"/>
          <w:sz w:val="32"/>
          <w:szCs w:val="32"/>
        </w:rPr>
        <w:t>年，××</w:t>
      </w:r>
      <w:r>
        <w:rPr>
          <w:rFonts w:hint="eastAsia" w:ascii="仿宋" w:hAnsi="仿宋" w:eastAsia="仿宋"/>
          <w:kern w:val="0"/>
          <w:sz w:val="32"/>
          <w:szCs w:val="32"/>
          <w:lang w:eastAsia="zh-CN"/>
        </w:rPr>
        <w:t>单位</w:t>
      </w:r>
      <w:r>
        <w:rPr>
          <w:rFonts w:hint="eastAsia" w:ascii="仿宋" w:hAnsi="仿宋" w:eastAsia="仿宋"/>
          <w:kern w:val="0"/>
          <w:sz w:val="32"/>
          <w:szCs w:val="32"/>
        </w:rPr>
        <w:t>政府采购预算总额××万元，其中：政府采购货物预算××万元、政府采购工程预算××万元、政府采购服务预算××万元。</w:t>
      </w:r>
    </w:p>
    <w:p>
      <w:pPr>
        <w:spacing w:line="600" w:lineRule="exact"/>
        <w:ind w:firstLine="643" w:firstLineChars="200"/>
        <w:rPr>
          <w:rFonts w:hint="eastAsia" w:ascii="楷体" w:hAnsi="楷体" w:eastAsia="楷体"/>
          <w:b/>
          <w:bCs/>
          <w:color w:val="0000FF"/>
          <w:sz w:val="32"/>
          <w:szCs w:val="32"/>
        </w:rPr>
      </w:pPr>
      <w:r>
        <w:rPr>
          <w:rFonts w:hint="eastAsia" w:ascii="楷体" w:hAnsi="楷体" w:eastAsia="楷体"/>
          <w:b/>
          <w:bCs/>
          <w:color w:val="0000FF"/>
          <w:sz w:val="32"/>
          <w:szCs w:val="32"/>
        </w:rPr>
        <w:t>（注：没有政府采购的</w:t>
      </w:r>
      <w:r>
        <w:rPr>
          <w:rFonts w:hint="eastAsia" w:ascii="楷体" w:hAnsi="楷体" w:eastAsia="楷体"/>
          <w:b/>
          <w:bCs/>
          <w:color w:val="0000FF"/>
          <w:sz w:val="32"/>
          <w:szCs w:val="32"/>
          <w:lang w:eastAsia="zh-CN"/>
        </w:rPr>
        <w:t>单位</w:t>
      </w:r>
      <w:r>
        <w:rPr>
          <w:rFonts w:hint="eastAsia" w:ascii="楷体" w:hAnsi="楷体" w:eastAsia="楷体"/>
          <w:b/>
          <w:bCs/>
          <w:color w:val="0000FF"/>
          <w:sz w:val="32"/>
          <w:szCs w:val="32"/>
        </w:rPr>
        <w:t>应说明“本</w:t>
      </w:r>
      <w:r>
        <w:rPr>
          <w:rFonts w:hint="eastAsia" w:ascii="楷体" w:hAnsi="楷体" w:eastAsia="楷体"/>
          <w:b/>
          <w:bCs/>
          <w:color w:val="0000FF"/>
          <w:sz w:val="32"/>
          <w:szCs w:val="32"/>
          <w:lang w:eastAsia="zh-CN"/>
        </w:rPr>
        <w:t>单位</w:t>
      </w:r>
      <w:r>
        <w:rPr>
          <w:rFonts w:hint="default" w:ascii="楷体" w:hAnsi="楷体" w:eastAsia="楷体"/>
          <w:b/>
          <w:bCs/>
          <w:color w:val="0000FF"/>
          <w:sz w:val="32"/>
          <w:szCs w:val="32"/>
        </w:rPr>
        <w:t>2025</w:t>
      </w:r>
      <w:r>
        <w:rPr>
          <w:rFonts w:hint="eastAsia" w:ascii="楷体" w:hAnsi="楷体" w:eastAsia="楷体"/>
          <w:b/>
          <w:bCs/>
          <w:color w:val="0000FF"/>
          <w:sz w:val="32"/>
          <w:szCs w:val="32"/>
        </w:rPr>
        <w:t>年度没有政府采购预算”。）</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（三）国有资产占用使用情况</w:t>
      </w:r>
    </w:p>
    <w:p>
      <w:pPr>
        <w:spacing w:line="600" w:lineRule="exact"/>
        <w:ind w:firstLine="640" w:firstLineChars="200"/>
        <w:rPr>
          <w:rFonts w:ascii="仿宋" w:hAnsi="仿宋" w:eastAsia="仿宋" w:cs="仿宋_GB2312"/>
          <w:kern w:val="0"/>
          <w:sz w:val="32"/>
          <w:szCs w:val="32"/>
        </w:rPr>
      </w:pPr>
      <w:r>
        <w:rPr>
          <w:rFonts w:hint="eastAsia" w:ascii="仿宋" w:hAnsi="仿宋" w:eastAsia="仿宋"/>
          <w:sz w:val="32"/>
          <w:szCs w:val="32"/>
        </w:rPr>
        <w:t>截至</w:t>
      </w:r>
      <w:r>
        <w:rPr>
          <w:rFonts w:hint="eastAsia" w:ascii="仿宋" w:hAnsi="仿宋" w:eastAsia="仿宋" w:cs="仿宋_GB2312"/>
          <w:kern w:val="0"/>
          <w:sz w:val="32"/>
          <w:szCs w:val="32"/>
          <w:lang w:val="en-US" w:eastAsia="zh-CN"/>
        </w:rPr>
        <w:t>2024</w:t>
      </w:r>
      <w:r>
        <w:rPr>
          <w:rFonts w:hint="eastAsia" w:ascii="仿宋" w:hAnsi="仿宋" w:eastAsia="仿宋" w:cs="仿宋_GB2312"/>
          <w:kern w:val="0"/>
          <w:sz w:val="32"/>
          <w:szCs w:val="32"/>
        </w:rPr>
        <w:t>年12月31日，××</w:t>
      </w:r>
      <w:r>
        <w:rPr>
          <w:rFonts w:hint="eastAsia" w:ascii="仿宋" w:hAnsi="仿宋" w:eastAsia="仿宋"/>
          <w:sz w:val="32"/>
          <w:szCs w:val="32"/>
          <w:lang w:eastAsia="zh-CN"/>
        </w:rPr>
        <w:t>单位</w:t>
      </w:r>
      <w:r>
        <w:rPr>
          <w:rFonts w:hint="eastAsia" w:ascii="仿宋" w:hAnsi="仿宋" w:eastAsia="仿宋"/>
          <w:sz w:val="32"/>
          <w:szCs w:val="32"/>
        </w:rPr>
        <w:t>共有车辆</w:t>
      </w:r>
      <w:r>
        <w:rPr>
          <w:rFonts w:hint="eastAsia" w:ascii="仿宋" w:hAnsi="仿宋" w:eastAsia="仿宋" w:cs="仿宋_GB2312"/>
          <w:kern w:val="0"/>
          <w:sz w:val="32"/>
          <w:szCs w:val="32"/>
        </w:rPr>
        <w:t>××</w:t>
      </w:r>
      <w:r>
        <w:rPr>
          <w:rFonts w:hint="eastAsia" w:ascii="仿宋" w:hAnsi="仿宋" w:eastAsia="仿宋"/>
          <w:sz w:val="32"/>
          <w:szCs w:val="32"/>
        </w:rPr>
        <w:t>辆，其中：领导干部用车××辆、机要通信用车××辆、应急保障用车××辆、执法执勤用车××辆、特种专业技术用车××辆、离退休干部用车××辆、其他用车××辆。单位价值100万元（含）以上设备</w:t>
      </w:r>
      <w:r>
        <w:rPr>
          <w:rFonts w:hint="eastAsia" w:ascii="仿宋" w:hAnsi="仿宋" w:eastAsia="仿宋" w:cs="仿宋_GB2312"/>
          <w:kern w:val="0"/>
          <w:sz w:val="32"/>
          <w:szCs w:val="32"/>
        </w:rPr>
        <w:t>××台（套）。</w:t>
      </w:r>
    </w:p>
    <w:p>
      <w:pPr>
        <w:ind w:firstLine="643" w:firstLineChars="200"/>
        <w:rPr>
          <w:rFonts w:hint="eastAsia" w:ascii="楷体" w:hAnsi="楷体" w:eastAsia="楷体" w:cs="楷体"/>
          <w:b/>
          <w:bCs/>
          <w:color w:val="0000FF"/>
          <w:kern w:val="0"/>
          <w:sz w:val="32"/>
          <w:szCs w:val="32"/>
        </w:rPr>
      </w:pPr>
      <w:r>
        <w:rPr>
          <w:rFonts w:hint="eastAsia" w:ascii="楷体" w:hAnsi="楷体" w:eastAsia="楷体" w:cs="楷体"/>
          <w:b/>
          <w:bCs/>
          <w:color w:val="0000FF"/>
          <w:kern w:val="0"/>
          <w:sz w:val="32"/>
          <w:szCs w:val="32"/>
        </w:rPr>
        <w:t>（注：本段“截至</w:t>
      </w:r>
      <w:r>
        <w:rPr>
          <w:rFonts w:hint="eastAsia" w:ascii="楷体" w:hAnsi="楷体" w:eastAsia="楷体" w:cs="楷体"/>
          <w:b/>
          <w:bCs/>
          <w:color w:val="0000FF"/>
          <w:kern w:val="0"/>
          <w:sz w:val="32"/>
          <w:szCs w:val="32"/>
          <w:lang w:val="en-US" w:eastAsia="zh-CN"/>
        </w:rPr>
        <w:t>XX</w:t>
      </w:r>
      <w:r>
        <w:rPr>
          <w:rFonts w:hint="eastAsia" w:ascii="楷体" w:hAnsi="楷体" w:eastAsia="楷体" w:cs="楷体"/>
          <w:b/>
          <w:bCs/>
          <w:color w:val="0000FF"/>
          <w:kern w:val="0"/>
          <w:sz w:val="32"/>
          <w:szCs w:val="32"/>
        </w:rPr>
        <w:t>年12月31日”指截至上一预算年度12月31日，如：公开202</w:t>
      </w:r>
      <w:r>
        <w:rPr>
          <w:rFonts w:hint="eastAsia" w:ascii="楷体" w:hAnsi="楷体" w:eastAsia="楷体" w:cs="楷体"/>
          <w:b/>
          <w:bCs/>
          <w:color w:val="0000FF"/>
          <w:kern w:val="0"/>
          <w:sz w:val="32"/>
          <w:szCs w:val="32"/>
          <w:lang w:val="en-US" w:eastAsia="zh-CN"/>
        </w:rPr>
        <w:t>5</w:t>
      </w:r>
      <w:r>
        <w:rPr>
          <w:rFonts w:hint="eastAsia" w:ascii="楷体" w:hAnsi="楷体" w:eastAsia="楷体" w:cs="楷体"/>
          <w:b/>
          <w:bCs/>
          <w:color w:val="0000FF"/>
          <w:kern w:val="0"/>
          <w:sz w:val="32"/>
          <w:szCs w:val="32"/>
        </w:rPr>
        <w:t>年度</w:t>
      </w:r>
      <w:r>
        <w:rPr>
          <w:rFonts w:hint="eastAsia" w:ascii="楷体" w:hAnsi="楷体" w:eastAsia="楷体" w:cs="楷体"/>
          <w:b/>
          <w:bCs/>
          <w:color w:val="0000FF"/>
          <w:kern w:val="0"/>
          <w:sz w:val="32"/>
          <w:szCs w:val="32"/>
          <w:lang w:eastAsia="zh-CN"/>
        </w:rPr>
        <w:t>单位</w:t>
      </w:r>
      <w:r>
        <w:rPr>
          <w:rFonts w:hint="eastAsia" w:ascii="楷体" w:hAnsi="楷体" w:eastAsia="楷体" w:cs="楷体"/>
          <w:b/>
          <w:bCs/>
          <w:color w:val="0000FF"/>
          <w:kern w:val="0"/>
          <w:sz w:val="32"/>
          <w:szCs w:val="32"/>
        </w:rPr>
        <w:t>预算时，应填写“截至202</w:t>
      </w:r>
      <w:r>
        <w:rPr>
          <w:rFonts w:hint="eastAsia" w:ascii="楷体" w:hAnsi="楷体" w:eastAsia="楷体" w:cs="楷体"/>
          <w:b/>
          <w:bCs/>
          <w:color w:val="0000FF"/>
          <w:kern w:val="0"/>
          <w:sz w:val="32"/>
          <w:szCs w:val="32"/>
          <w:lang w:val="en-US" w:eastAsia="zh-CN"/>
        </w:rPr>
        <w:t>4</w:t>
      </w:r>
      <w:r>
        <w:rPr>
          <w:rFonts w:hint="eastAsia" w:ascii="楷体" w:hAnsi="楷体" w:eastAsia="楷体" w:cs="楷体"/>
          <w:b/>
          <w:bCs/>
          <w:color w:val="0000FF"/>
          <w:kern w:val="0"/>
          <w:sz w:val="32"/>
          <w:szCs w:val="32"/>
        </w:rPr>
        <w:t>年12月31日”有关数据内容。）</w:t>
      </w:r>
    </w:p>
    <w:p>
      <w:pPr>
        <w:ind w:firstLine="640" w:firstLineChars="200"/>
        <w:rPr>
          <w:rFonts w:ascii="仿宋" w:hAnsi="仿宋" w:eastAsia="仿宋" w:cs="楷体"/>
          <w:kern w:val="0"/>
          <w:sz w:val="32"/>
          <w:szCs w:val="32"/>
        </w:rPr>
      </w:pPr>
      <w:r>
        <w:rPr>
          <w:rFonts w:hint="default" w:ascii="仿宋" w:hAnsi="仿宋" w:eastAsia="仿宋" w:cs="楷体"/>
          <w:kern w:val="0"/>
          <w:sz w:val="32"/>
          <w:szCs w:val="32"/>
        </w:rPr>
        <w:t>2025</w:t>
      </w:r>
      <w:r>
        <w:rPr>
          <w:rFonts w:hint="eastAsia" w:ascii="仿宋" w:hAnsi="仿宋" w:eastAsia="仿宋" w:cs="楷体"/>
          <w:kern w:val="0"/>
          <w:sz w:val="32"/>
          <w:szCs w:val="32"/>
        </w:rPr>
        <w:t>年</w:t>
      </w:r>
      <w:r>
        <w:rPr>
          <w:rFonts w:hint="eastAsia" w:ascii="仿宋" w:hAnsi="仿宋" w:eastAsia="仿宋" w:cs="楷体"/>
          <w:kern w:val="0"/>
          <w:sz w:val="32"/>
          <w:szCs w:val="32"/>
          <w:lang w:eastAsia="zh-CN"/>
        </w:rPr>
        <w:t>单位</w:t>
      </w:r>
      <w:r>
        <w:rPr>
          <w:rFonts w:hint="eastAsia" w:ascii="仿宋" w:hAnsi="仿宋" w:eastAsia="仿宋" w:cs="楷体"/>
          <w:kern w:val="0"/>
          <w:sz w:val="32"/>
          <w:szCs w:val="32"/>
        </w:rPr>
        <w:t>预算安排购置车辆</w:t>
      </w:r>
      <w:r>
        <w:rPr>
          <w:rFonts w:hint="eastAsia" w:ascii="仿宋" w:hAnsi="仿宋" w:eastAsia="仿宋" w:cs="仿宋_GB2312"/>
          <w:kern w:val="0"/>
          <w:sz w:val="32"/>
          <w:szCs w:val="32"/>
        </w:rPr>
        <w:t>××</w:t>
      </w:r>
      <w:r>
        <w:rPr>
          <w:rFonts w:hint="eastAsia" w:ascii="仿宋" w:hAnsi="仿宋" w:eastAsia="仿宋"/>
          <w:sz w:val="32"/>
          <w:szCs w:val="32"/>
        </w:rPr>
        <w:t>辆，其中：</w:t>
      </w:r>
      <w:r>
        <w:rPr>
          <w:rFonts w:hint="eastAsia" w:ascii="仿宋" w:hAnsi="仿宋" w:eastAsia="仿宋" w:cs="仿宋_GB2312"/>
          <w:kern w:val="0"/>
          <w:sz w:val="32"/>
          <w:szCs w:val="32"/>
        </w:rPr>
        <w:t>领导干部用车××辆、机要通信用车××辆、应急保障用车××辆、执法执勤用车××辆、特种专业技术用车××辆、离退休干部用车××辆、其他用车××辆。</w:t>
      </w:r>
      <w:r>
        <w:rPr>
          <w:rFonts w:hint="eastAsia" w:ascii="仿宋" w:hAnsi="仿宋" w:eastAsia="仿宋"/>
          <w:sz w:val="32"/>
          <w:szCs w:val="32"/>
        </w:rPr>
        <w:t>单位价值100万元（含）以上设备</w:t>
      </w:r>
      <w:r>
        <w:rPr>
          <w:rFonts w:hint="eastAsia" w:ascii="仿宋" w:hAnsi="仿宋" w:eastAsia="仿宋" w:cs="仿宋_GB2312"/>
          <w:kern w:val="0"/>
          <w:sz w:val="32"/>
          <w:szCs w:val="32"/>
        </w:rPr>
        <w:t>××台（套）。</w:t>
      </w:r>
    </w:p>
    <w:p>
      <w:pPr>
        <w:ind w:firstLine="640" w:firstLineChars="200"/>
        <w:rPr>
          <w:rFonts w:ascii="仿宋" w:hAnsi="仿宋" w:eastAsia="仿宋" w:cs="仿宋_GB2312"/>
          <w:kern w:val="0"/>
          <w:sz w:val="32"/>
          <w:szCs w:val="32"/>
        </w:rPr>
      </w:pPr>
    </w:p>
    <w:p>
      <w:pPr>
        <w:jc w:val="center"/>
        <w:rPr>
          <w:rFonts w:ascii="宋体" w:hAnsi="宋体" w:eastAsia="宋体"/>
          <w:b/>
          <w:sz w:val="40"/>
        </w:rPr>
        <w:sectPr>
          <w:pgSz w:w="11906" w:h="16838"/>
          <w:pgMar w:top="1440" w:right="1800" w:bottom="1440" w:left="1800" w:header="851" w:footer="992" w:gutter="0"/>
          <w:cols w:space="720" w:num="1"/>
          <w:docGrid w:type="lines" w:linePitch="312" w:charSpace="0"/>
        </w:sectPr>
      </w:pPr>
    </w:p>
    <w:p>
      <w:pPr>
        <w:jc w:val="center"/>
        <w:rPr>
          <w:rFonts w:ascii="黑体" w:hAnsi="黑体" w:eastAsia="黑体"/>
          <w:sz w:val="56"/>
        </w:rPr>
      </w:pPr>
    </w:p>
    <w:p>
      <w:pPr>
        <w:jc w:val="center"/>
        <w:rPr>
          <w:rFonts w:ascii="黑体" w:hAnsi="黑体" w:eastAsia="黑体"/>
          <w:sz w:val="56"/>
        </w:rPr>
      </w:pPr>
    </w:p>
    <w:p>
      <w:pPr>
        <w:jc w:val="center"/>
        <w:rPr>
          <w:rFonts w:ascii="黑体" w:hAnsi="黑体" w:eastAsia="黑体"/>
          <w:sz w:val="56"/>
        </w:rPr>
      </w:pPr>
    </w:p>
    <w:p>
      <w:pPr>
        <w:jc w:val="center"/>
        <w:rPr>
          <w:rFonts w:ascii="黑体" w:hAnsi="黑体" w:eastAsia="黑体"/>
          <w:sz w:val="56"/>
        </w:rPr>
      </w:pPr>
    </w:p>
    <w:p>
      <w:pPr>
        <w:jc w:val="center"/>
        <w:rPr>
          <w:rFonts w:ascii="黑体" w:hAnsi="黑体" w:eastAsia="黑体"/>
          <w:sz w:val="56"/>
        </w:rPr>
      </w:pPr>
    </w:p>
    <w:p>
      <w:pPr>
        <w:jc w:val="left"/>
        <w:rPr>
          <w:rFonts w:ascii="黑体" w:hAnsi="黑体" w:eastAsia="黑体"/>
          <w:sz w:val="56"/>
        </w:rPr>
      </w:pPr>
      <w:r>
        <w:rPr>
          <w:rFonts w:hint="eastAsia" w:ascii="黑体" w:hAnsi="黑体" w:eastAsia="黑体"/>
          <w:sz w:val="56"/>
        </w:rPr>
        <w:t>第四部分</w:t>
      </w:r>
      <w:r>
        <w:rPr>
          <w:rFonts w:ascii="黑体" w:hAnsi="黑体" w:eastAsia="黑体"/>
          <w:sz w:val="56"/>
        </w:rPr>
        <w:t xml:space="preserve"> </w:t>
      </w:r>
    </w:p>
    <w:p>
      <w:pPr>
        <w:jc w:val="center"/>
        <w:rPr>
          <w:rFonts w:ascii="黑体" w:hAnsi="黑体" w:eastAsia="黑体"/>
          <w:sz w:val="56"/>
        </w:rPr>
      </w:pPr>
      <w:r>
        <w:rPr>
          <w:rFonts w:hint="eastAsia" w:ascii="黑体" w:hAnsi="黑体" w:eastAsia="黑体"/>
          <w:sz w:val="56"/>
        </w:rPr>
        <w:t>名词解释</w:t>
      </w:r>
    </w:p>
    <w:p>
      <w:pPr>
        <w:jc w:val="center"/>
        <w:rPr>
          <w:rFonts w:ascii="宋体" w:hAnsi="宋体" w:eastAsia="宋体"/>
          <w:b/>
          <w:sz w:val="40"/>
        </w:rPr>
      </w:pPr>
    </w:p>
    <w:p>
      <w:pPr>
        <w:spacing w:line="600" w:lineRule="exact"/>
        <w:ind w:firstLine="707" w:firstLineChars="221"/>
        <w:rPr>
          <w:rFonts w:ascii="仿宋" w:hAnsi="仿宋" w:eastAsia="仿宋" w:cs="仿宋"/>
          <w:color w:val="000000"/>
          <w:kern w:val="0"/>
          <w:sz w:val="32"/>
          <w:szCs w:val="32"/>
        </w:rPr>
        <w:sectPr>
          <w:pgSz w:w="11906" w:h="16838"/>
          <w:pgMar w:top="1440" w:right="1800" w:bottom="1440" w:left="1800" w:header="851" w:footer="992" w:gutter="0"/>
          <w:cols w:space="720" w:num="1"/>
          <w:docGrid w:type="lines" w:linePitch="312" w:charSpace="0"/>
        </w:sectPr>
      </w:pPr>
    </w:p>
    <w:p>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一、财政拨款收入：</w:t>
      </w:r>
      <w:r>
        <w:rPr>
          <w:rFonts w:hint="eastAsia" w:ascii="仿宋" w:hAnsi="仿宋" w:eastAsia="仿宋" w:cs="仿宋"/>
          <w:color w:val="000000"/>
          <w:kern w:val="0"/>
          <w:sz w:val="32"/>
          <w:szCs w:val="32"/>
        </w:rPr>
        <w:t>指财政当年拨付的资金，包括一般公共预算拨款收入、政府性基金预算拨款收入、国有资本经营预算拨款收入。</w:t>
      </w:r>
      <w:r>
        <w:rPr>
          <w:rFonts w:ascii="仿宋" w:hAnsi="仿宋" w:eastAsia="仿宋" w:cs="仿宋"/>
          <w:color w:val="000000"/>
          <w:kern w:val="0"/>
          <w:sz w:val="32"/>
          <w:szCs w:val="32"/>
        </w:rPr>
        <w:t xml:space="preserve"> </w:t>
      </w:r>
    </w:p>
    <w:p>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二、事业收入：</w:t>
      </w:r>
      <w:r>
        <w:rPr>
          <w:rFonts w:hint="eastAsia" w:ascii="仿宋" w:hAnsi="仿宋" w:eastAsia="仿宋" w:cs="仿宋"/>
          <w:color w:val="000000"/>
          <w:kern w:val="0"/>
          <w:sz w:val="32"/>
          <w:szCs w:val="32"/>
        </w:rPr>
        <w:t>指事业单位开展专业业务活动及辅助活动所取得的收入。</w:t>
      </w:r>
    </w:p>
    <w:p>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三、事业单位经营收入：</w:t>
      </w:r>
      <w:r>
        <w:rPr>
          <w:rFonts w:hint="eastAsia" w:ascii="仿宋" w:hAnsi="仿宋" w:eastAsia="仿宋" w:cs="仿宋"/>
          <w:color w:val="000000"/>
          <w:kern w:val="0"/>
          <w:sz w:val="32"/>
          <w:szCs w:val="32"/>
        </w:rPr>
        <w:t>指事业单位在专业业务活动及其辅助活动之外开展非独立核算经营活动取得的收入。</w:t>
      </w:r>
      <w:r>
        <w:rPr>
          <w:rFonts w:ascii="仿宋" w:hAnsi="仿宋" w:eastAsia="仿宋" w:cs="仿宋"/>
          <w:color w:val="000000"/>
          <w:kern w:val="0"/>
          <w:sz w:val="32"/>
          <w:szCs w:val="32"/>
        </w:rPr>
        <w:t xml:space="preserve"> </w:t>
      </w:r>
    </w:p>
    <w:p>
      <w:pPr>
        <w:spacing w:line="600" w:lineRule="exact"/>
        <w:ind w:firstLine="710" w:firstLineChars="221"/>
        <w:rPr>
          <w:rFonts w:ascii="仿宋" w:hAnsi="仿宋" w:eastAsia="仿宋" w:cs="仿宋"/>
          <w:color w:val="000000"/>
          <w:kern w:val="0"/>
          <w:sz w:val="32"/>
          <w:szCs w:val="32"/>
        </w:rPr>
      </w:pPr>
      <w:r>
        <w:rPr>
          <w:rFonts w:hint="eastAsia" w:ascii="仿宋" w:hAnsi="仿宋" w:eastAsia="仿宋" w:cs="仿宋"/>
          <w:b/>
          <w:color w:val="000000"/>
          <w:kern w:val="0"/>
          <w:sz w:val="32"/>
          <w:szCs w:val="32"/>
        </w:rPr>
        <w:t>四、其他收入：</w:t>
      </w:r>
      <w:r>
        <w:rPr>
          <w:rFonts w:hint="eastAsia" w:ascii="仿宋" w:hAnsi="仿宋" w:eastAsia="仿宋" w:cs="仿宋"/>
          <w:color w:val="000000"/>
          <w:kern w:val="0"/>
          <w:sz w:val="32"/>
          <w:szCs w:val="32"/>
        </w:rPr>
        <w:t>指除上述</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财政拨款收入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事业单位经营收入</w:t>
      </w:r>
      <w:r>
        <w:rPr>
          <w:rFonts w:ascii="仿宋" w:hAnsi="仿宋" w:eastAsia="仿宋" w:cs="仿宋"/>
          <w:color w:val="000000"/>
          <w:kern w:val="0"/>
          <w:sz w:val="32"/>
          <w:szCs w:val="32"/>
        </w:rPr>
        <w:t>”</w:t>
      </w:r>
      <w:r>
        <w:rPr>
          <w:rFonts w:hint="eastAsia" w:ascii="仿宋" w:hAnsi="仿宋" w:eastAsia="仿宋" w:cs="仿宋"/>
          <w:color w:val="000000"/>
          <w:kern w:val="0"/>
          <w:sz w:val="32"/>
          <w:szCs w:val="32"/>
        </w:rPr>
        <w:t>等以外的收入。主要是事业单位固定资产出租收入、存款利息收入等。</w:t>
      </w:r>
      <w:r>
        <w:rPr>
          <w:rFonts w:ascii="仿宋" w:hAnsi="仿宋" w:eastAsia="仿宋" w:cs="仿宋"/>
          <w:color w:val="000000"/>
          <w:kern w:val="0"/>
          <w:sz w:val="32"/>
          <w:szCs w:val="32"/>
        </w:rPr>
        <w:t xml:space="preserve"> </w:t>
      </w:r>
    </w:p>
    <w:p>
      <w:pPr>
        <w:spacing w:line="600" w:lineRule="exact"/>
        <w:ind w:firstLine="643" w:firstLineChars="200"/>
        <w:rPr>
          <w:rFonts w:ascii="仿宋" w:hAnsi="仿宋" w:eastAsia="仿宋" w:cs="仿宋"/>
          <w:color w:val="000000"/>
          <w:kern w:val="0"/>
          <w:sz w:val="32"/>
          <w:szCs w:val="32"/>
        </w:rPr>
      </w:pPr>
      <w:r>
        <w:rPr>
          <w:rFonts w:hint="eastAsia" w:ascii="仿宋" w:hAnsi="仿宋" w:eastAsia="仿宋" w:cs="仿宋"/>
          <w:b/>
          <w:color w:val="000000"/>
          <w:kern w:val="0"/>
          <w:sz w:val="32"/>
          <w:szCs w:val="32"/>
        </w:rPr>
        <w:t>五、结转结余资金：</w:t>
      </w:r>
      <w:r>
        <w:rPr>
          <w:rFonts w:hint="eastAsia" w:ascii="仿宋" w:hAnsi="仿宋" w:eastAsia="仿宋" w:cs="仿宋"/>
          <w:color w:val="000000"/>
          <w:kern w:val="0"/>
          <w:sz w:val="32"/>
          <w:szCs w:val="32"/>
        </w:rPr>
        <w:t>指以前年度尚未完成、结转到本年仍按原规定用途继续使用的资金，或项目已完成等产生的结余资金。</w:t>
      </w:r>
    </w:p>
    <w:p>
      <w:pPr>
        <w:pStyle w:val="7"/>
        <w:spacing w:line="600" w:lineRule="exact"/>
        <w:ind w:firstLine="640"/>
        <w:rPr>
          <w:rFonts w:hAnsi="仿宋"/>
          <w:sz w:val="32"/>
          <w:szCs w:val="32"/>
        </w:rPr>
      </w:pPr>
      <w:r>
        <w:rPr>
          <w:rFonts w:hint="eastAsia" w:hAnsi="仿宋"/>
          <w:b/>
          <w:sz w:val="32"/>
          <w:szCs w:val="32"/>
        </w:rPr>
        <w:t>六、基本支出：</w:t>
      </w:r>
      <w:r>
        <w:rPr>
          <w:rFonts w:hint="eastAsia" w:hAnsi="仿宋"/>
          <w:sz w:val="32"/>
          <w:szCs w:val="32"/>
        </w:rPr>
        <w:t>指为保障机构正常运转、完成日常工作任务而发生的人员支出和公用支出。</w:t>
      </w:r>
      <w:r>
        <w:rPr>
          <w:rFonts w:hAnsi="仿宋"/>
          <w:sz w:val="32"/>
          <w:szCs w:val="32"/>
        </w:rPr>
        <w:t xml:space="preserve"> </w:t>
      </w:r>
    </w:p>
    <w:p>
      <w:pPr>
        <w:pStyle w:val="7"/>
        <w:spacing w:line="600" w:lineRule="exact"/>
        <w:ind w:firstLine="640"/>
        <w:rPr>
          <w:rFonts w:hAnsi="仿宋"/>
          <w:sz w:val="32"/>
          <w:szCs w:val="32"/>
        </w:rPr>
      </w:pPr>
      <w:r>
        <w:rPr>
          <w:rFonts w:hint="eastAsia" w:hAnsi="仿宋"/>
          <w:b/>
          <w:sz w:val="32"/>
          <w:szCs w:val="32"/>
        </w:rPr>
        <w:t>七、项目支出：</w:t>
      </w:r>
      <w:r>
        <w:rPr>
          <w:rFonts w:hint="eastAsia" w:hAnsi="仿宋"/>
          <w:sz w:val="32"/>
          <w:szCs w:val="32"/>
        </w:rPr>
        <w:t>指在基本支出之外为完成特定行政任务或事业发展目标所发生的支出。</w:t>
      </w:r>
      <w:r>
        <w:rPr>
          <w:rFonts w:hAnsi="仿宋"/>
          <w:sz w:val="32"/>
          <w:szCs w:val="32"/>
        </w:rPr>
        <w:t xml:space="preserve"> </w:t>
      </w:r>
    </w:p>
    <w:p>
      <w:pPr>
        <w:pStyle w:val="7"/>
        <w:spacing w:line="600" w:lineRule="exact"/>
        <w:ind w:firstLine="640"/>
        <w:rPr>
          <w:rFonts w:hAnsi="仿宋"/>
          <w:sz w:val="32"/>
          <w:szCs w:val="32"/>
        </w:rPr>
      </w:pPr>
      <w:r>
        <w:rPr>
          <w:rFonts w:hint="eastAsia" w:hAnsi="仿宋"/>
          <w:b/>
          <w:sz w:val="32"/>
          <w:szCs w:val="32"/>
        </w:rPr>
        <w:t>八、事业单位经营支出：</w:t>
      </w:r>
      <w:r>
        <w:rPr>
          <w:rFonts w:hint="eastAsia" w:hAnsi="仿宋"/>
          <w:sz w:val="32"/>
          <w:szCs w:val="32"/>
        </w:rPr>
        <w:t>指事业单位在专业业务活动及其辅助活动之外开展非独立核算经营活动发生的支出。</w:t>
      </w:r>
      <w:r>
        <w:rPr>
          <w:rFonts w:hAnsi="仿宋"/>
          <w:sz w:val="32"/>
          <w:szCs w:val="32"/>
        </w:rPr>
        <w:t xml:space="preserve"> </w:t>
      </w:r>
    </w:p>
    <w:p>
      <w:pPr>
        <w:pStyle w:val="7"/>
        <w:spacing w:line="600" w:lineRule="exact"/>
        <w:ind w:firstLine="640"/>
        <w:rPr>
          <w:rFonts w:hAnsi="仿宋"/>
          <w:sz w:val="32"/>
          <w:szCs w:val="32"/>
        </w:rPr>
      </w:pPr>
      <w:r>
        <w:rPr>
          <w:rFonts w:hint="eastAsia" w:hAnsi="仿宋"/>
          <w:b/>
          <w:sz w:val="32"/>
          <w:szCs w:val="32"/>
        </w:rPr>
        <w:t>九、上缴上级支出：</w:t>
      </w:r>
      <w:r>
        <w:rPr>
          <w:rFonts w:hint="eastAsia" w:hAnsi="仿宋"/>
          <w:sz w:val="32"/>
          <w:szCs w:val="32"/>
        </w:rPr>
        <w:t>指下级单位上缴上级的支出。</w:t>
      </w:r>
    </w:p>
    <w:p>
      <w:pPr>
        <w:pStyle w:val="7"/>
        <w:spacing w:line="600" w:lineRule="exact"/>
        <w:ind w:firstLine="640"/>
        <w:rPr>
          <w:rFonts w:hAnsi="仿宋"/>
          <w:sz w:val="32"/>
          <w:szCs w:val="32"/>
        </w:rPr>
      </w:pPr>
      <w:r>
        <w:rPr>
          <w:rFonts w:hint="eastAsia" w:hAnsi="仿宋"/>
          <w:b/>
          <w:sz w:val="32"/>
          <w:szCs w:val="32"/>
        </w:rPr>
        <w:t>十、对附属单位补助支出：</w:t>
      </w:r>
      <w:r>
        <w:rPr>
          <w:rFonts w:hint="eastAsia" w:hAnsi="仿宋"/>
          <w:sz w:val="32"/>
          <w:szCs w:val="32"/>
        </w:rPr>
        <w:t>指对下级单位补助发生的支出。</w:t>
      </w:r>
    </w:p>
    <w:p>
      <w:pPr>
        <w:pStyle w:val="7"/>
        <w:spacing w:line="600" w:lineRule="exact"/>
        <w:ind w:firstLine="640"/>
        <w:rPr>
          <w:rFonts w:hAnsi="仿宋"/>
          <w:sz w:val="32"/>
          <w:szCs w:val="32"/>
        </w:rPr>
      </w:pPr>
      <w:r>
        <w:rPr>
          <w:rFonts w:hint="eastAsia" w:hAnsi="仿宋"/>
          <w:b/>
          <w:sz w:val="32"/>
          <w:szCs w:val="32"/>
        </w:rPr>
        <w:t>十一、</w:t>
      </w:r>
      <w:r>
        <w:rPr>
          <w:rFonts w:hAnsi="仿宋"/>
          <w:b/>
          <w:sz w:val="32"/>
          <w:szCs w:val="32"/>
        </w:rPr>
        <w:t>“</w:t>
      </w:r>
      <w:r>
        <w:rPr>
          <w:rFonts w:hint="eastAsia" w:hAnsi="仿宋"/>
          <w:b/>
          <w:sz w:val="32"/>
          <w:szCs w:val="32"/>
        </w:rPr>
        <w:t>三公</w:t>
      </w:r>
      <w:r>
        <w:rPr>
          <w:rFonts w:hAnsi="仿宋"/>
          <w:b/>
          <w:sz w:val="32"/>
          <w:szCs w:val="32"/>
        </w:rPr>
        <w:t>”</w:t>
      </w:r>
      <w:r>
        <w:rPr>
          <w:rFonts w:hint="eastAsia" w:hAnsi="仿宋"/>
          <w:b/>
          <w:sz w:val="32"/>
          <w:szCs w:val="32"/>
        </w:rPr>
        <w:t>经费：</w:t>
      </w:r>
      <w:r>
        <w:rPr>
          <w:rFonts w:hint="eastAsia" w:hAnsi="仿宋"/>
          <w:sz w:val="32"/>
          <w:szCs w:val="32"/>
        </w:rPr>
        <w:t>纳入财政预决算管理的</w:t>
      </w:r>
      <w:r>
        <w:rPr>
          <w:rFonts w:hAnsi="仿宋"/>
          <w:sz w:val="32"/>
          <w:szCs w:val="32"/>
        </w:rPr>
        <w:t>“</w:t>
      </w:r>
      <w:r>
        <w:rPr>
          <w:rFonts w:hint="eastAsia" w:hAnsi="仿宋"/>
          <w:sz w:val="32"/>
          <w:szCs w:val="32"/>
        </w:rPr>
        <w:t>三公</w:t>
      </w:r>
      <w:r>
        <w:rPr>
          <w:rFonts w:hAnsi="仿宋"/>
          <w:sz w:val="32"/>
          <w:szCs w:val="32"/>
        </w:rPr>
        <w:t>”</w:t>
      </w:r>
      <w:r>
        <w:rPr>
          <w:rFonts w:hint="eastAsia" w:hAnsi="仿宋"/>
          <w:sz w:val="32"/>
          <w:szCs w:val="32"/>
        </w:rPr>
        <w:t>经费，是指使用财政拨款安排的因公出国（境）费、公务用车购置及运行费和公务接待费。其中，因公出国（境）费反映单位公务出国（境）的国际旅费、国外城市间交通费、住宿费、伙食费、培训费、公杂费等支出；公务用车购置及运行费，指单位公务用车购置支出</w:t>
      </w:r>
      <w:r>
        <w:rPr>
          <w:rFonts w:hAnsi="仿宋"/>
          <w:sz w:val="32"/>
          <w:szCs w:val="32"/>
        </w:rPr>
        <w:t>(</w:t>
      </w:r>
      <w:r>
        <w:rPr>
          <w:rFonts w:hint="eastAsia" w:hAnsi="仿宋"/>
          <w:sz w:val="32"/>
          <w:szCs w:val="32"/>
        </w:rPr>
        <w:t>含车辆购置税、牌照费</w:t>
      </w:r>
      <w:r>
        <w:rPr>
          <w:rFonts w:hAnsi="仿宋"/>
          <w:sz w:val="32"/>
          <w:szCs w:val="32"/>
        </w:rPr>
        <w:t>)</w:t>
      </w:r>
      <w:r>
        <w:rPr>
          <w:rFonts w:hint="eastAsia" w:hAnsi="仿宋"/>
          <w:sz w:val="32"/>
          <w:szCs w:val="32"/>
        </w:rPr>
        <w:t>及燃料费、维修费、过桥过路费、保险费、安全奖励费用等支出；公务接待费反映单位按规定开支的各类公务接待（含外宾接待）支出。</w:t>
      </w:r>
      <w:r>
        <w:rPr>
          <w:rFonts w:hAnsi="仿宋"/>
          <w:sz w:val="32"/>
          <w:szCs w:val="32"/>
        </w:rPr>
        <w:t xml:space="preserve"> </w:t>
      </w:r>
    </w:p>
    <w:p>
      <w:pPr>
        <w:ind w:firstLine="643" w:firstLineChars="200"/>
        <w:jc w:val="left"/>
        <w:rPr>
          <w:rFonts w:ascii="宋体" w:hAnsi="宋体" w:eastAsia="宋体"/>
          <w:b/>
          <w:sz w:val="40"/>
        </w:rPr>
      </w:pPr>
      <w:r>
        <w:rPr>
          <w:rFonts w:hint="eastAsia" w:ascii="仿宋" w:hAnsi="仿宋" w:eastAsia="仿宋"/>
          <w:b/>
          <w:sz w:val="32"/>
          <w:szCs w:val="32"/>
        </w:rPr>
        <w:t>十二、机关运行经费：</w:t>
      </w:r>
      <w:r>
        <w:rPr>
          <w:rFonts w:hint="eastAsia" w:ascii="仿宋" w:hAnsi="仿宋" w:eastAsia="仿宋"/>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jc w:val="center"/>
      </w:pPr>
    </w:p>
    <w:p>
      <w:pPr>
        <w:jc w:val="center"/>
      </w:pPr>
    </w:p>
    <w:p>
      <w:pPr>
        <w:jc w:val="center"/>
      </w:pPr>
    </w:p>
    <w:p>
      <w:pPr>
        <w:spacing w:line="600" w:lineRule="exact"/>
        <w:ind w:firstLine="964" w:firstLineChars="200"/>
        <w:rPr>
          <w:rFonts w:hint="eastAsia" w:ascii="楷体" w:hAnsi="楷体" w:eastAsia="楷体" w:cs="仿宋_GB2312"/>
          <w:b/>
          <w:bCs/>
          <w:color w:val="0000FF"/>
          <w:kern w:val="2"/>
          <w:sz w:val="48"/>
          <w:szCs w:val="48"/>
        </w:rPr>
      </w:pPr>
      <w:r>
        <w:rPr>
          <w:rFonts w:hint="eastAsia" w:ascii="楷体" w:hAnsi="楷体" w:eastAsia="楷体" w:cs="仿宋_GB2312"/>
          <w:b/>
          <w:bCs/>
          <w:color w:val="0000FF"/>
          <w:kern w:val="2"/>
          <w:sz w:val="48"/>
          <w:szCs w:val="48"/>
          <w:lang w:eastAsia="zh-CN"/>
        </w:rPr>
        <w:t>再次提醒，对外公开时，一定要将财政编辑的编报说明（即蓝色字体部分）予以删除！！！</w:t>
      </w:r>
    </w:p>
    <w:p>
      <w:pPr>
        <w:jc w:val="both"/>
      </w:pPr>
    </w:p>
    <w:p>
      <w:pPr>
        <w:jc w:val="cente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altName w:val="黑体"/>
    <w:panose1 w:val="02000000000000000000"/>
    <w:charset w:val="86"/>
    <w:family w:val="auto"/>
    <w:pitch w:val="default"/>
    <w:sig w:usb0="00000001" w:usb1="08000000" w:usb2="00000000" w:usb3="00000000" w:csb0="00040000" w:csb1="00000000"/>
  </w:font>
  <w:font w:name="DejaVu Sans">
    <w:altName w:val="Segoe Print"/>
    <w:panose1 w:val="020B0603030804020204"/>
    <w:charset w:val="00"/>
    <w:family w:val="auto"/>
    <w:pitch w:val="default"/>
    <w:sig w:usb0="E7006EFF" w:usb1="D200FDFF" w:usb2="0A246029" w:usb3="0400200C" w:csb0="600001FF" w:csb1="DFFF0000"/>
  </w:font>
  <w:font w:name="Liberation Serif">
    <w:altName w:val="Meiryo UI"/>
    <w:panose1 w:val="02020603050405020304"/>
    <w:charset w:val="00"/>
    <w:family w:val="auto"/>
    <w:pitch w:val="default"/>
    <w:sig w:usb0="A00002AF" w:usb1="500078FB" w:usb2="00000000" w:usb3="00000000" w:csb0="6000009F" w:csb1="DFD70000"/>
  </w:font>
  <w:font w:name="方正楷体_GBK">
    <w:altName w:val="楷体_GB231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36</w:t>
    </w:r>
    <w:r>
      <w:rPr>
        <w:rFonts w:ascii="宋体" w:hAnsi="宋体" w:eastAsia="宋体"/>
        <w:sz w:val="28"/>
        <w:szCs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jc w:val="both"/>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semiHidden="0" w:name="Balloon Text"/>
  </w:latentStyles>
  <w:style w:type="paragraph" w:default="1" w:styleId="1">
    <w:name w:val="Normal"/>
    <w:qFormat/>
    <w:uiPriority w:val="0"/>
    <w:pPr>
      <w:widowControl w:val="0"/>
      <w:spacing w:line="276" w:lineRule="auto"/>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paragraph" w:styleId="2">
    <w:name w:val="Body Text"/>
    <w:basedOn w:val="1"/>
    <w:link w:val="12"/>
    <w:qFormat/>
    <w:uiPriority w:val="1"/>
    <w:pPr>
      <w:autoSpaceDE w:val="0"/>
      <w:autoSpaceDN w:val="0"/>
      <w:spacing w:line="240" w:lineRule="auto"/>
      <w:jc w:val="left"/>
    </w:pPr>
    <w:rPr>
      <w:rFonts w:ascii="Times New Roman" w:hAnsi="Times New Roman" w:eastAsia="Times New Roman" w:cs="Times New Roman"/>
      <w:kern w:val="0"/>
      <w:sz w:val="20"/>
      <w:szCs w:val="20"/>
      <w:lang w:eastAsia="en-US"/>
    </w:rPr>
  </w:style>
  <w:style w:type="paragraph" w:styleId="3">
    <w:name w:val="Balloon Text"/>
    <w:basedOn w:val="1"/>
    <w:link w:val="13"/>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7">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8">
    <w:name w:val="列出段落1"/>
    <w:basedOn w:val="1"/>
    <w:qFormat/>
    <w:uiPriority w:val="34"/>
    <w:pPr>
      <w:ind w:firstLine="420" w:firstLineChars="200"/>
    </w:pPr>
  </w:style>
  <w:style w:type="paragraph" w:customStyle="1" w:styleId="9">
    <w:name w:val="List Paragraph"/>
    <w:basedOn w:val="1"/>
    <w:unhideWhenUsed/>
    <w:qFormat/>
    <w:uiPriority w:val="99"/>
    <w:pPr>
      <w:ind w:firstLine="420" w:firstLineChars="200"/>
    </w:p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正文文本 Char"/>
    <w:basedOn w:val="6"/>
    <w:link w:val="2"/>
    <w:qFormat/>
    <w:uiPriority w:val="1"/>
    <w:rPr>
      <w:rFonts w:ascii="Times New Roman" w:hAnsi="Times New Roman" w:eastAsia="Times New Roman" w:cs="Times New Roman"/>
      <w:kern w:val="0"/>
      <w:sz w:val="20"/>
      <w:szCs w:val="20"/>
      <w:lang w:eastAsia="en-US"/>
    </w:rPr>
  </w:style>
  <w:style w:type="character" w:customStyle="1" w:styleId="13">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1903</Words>
  <Characters>10852</Characters>
  <Lines>90</Lines>
  <Paragraphs>25</Paragraphs>
  <ScaleCrop>false</ScaleCrop>
  <LinksUpToDate>false</LinksUpToDate>
  <CharactersWithSpaces>0</CharactersWithSpaces>
  <Application>WPS Office 专业版_9.1.0.4472_{F1E327BC-269C-435d-A152-05C5408002CA}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2019-03-11T16:45:00Z</dcterms:created>
  <dc:creator>null</dc:creator>
  <cp:lastModifiedBy>dell</cp:lastModifiedBy>
  <cp:lastPrinted>2024-04-03T10:55:00Z</cp:lastPrinted>
  <dcterms:modified xsi:type="dcterms:W3CDTF">2025-02-05T02:36:31Z</dcterms:modified>
  <dc:title>附件4</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2052-9.1.0.4472</vt:lpwstr>
  </property>
</Properties>
</file>